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D2F3" w14:textId="13D18C2E" w:rsidR="00C668C1" w:rsidRPr="00284D44" w:rsidRDefault="00C668C1" w:rsidP="00C668C1">
      <w:pPr>
        <w:widowControl w:val="0"/>
        <w:suppressAutoHyphens/>
        <w:rPr>
          <w:rFonts w:asciiTheme="minorHAnsi" w:hAnsiTheme="minorHAnsi" w:cstheme="minorHAnsi"/>
          <w:b/>
          <w:kern w:val="1"/>
          <w:lang w:eastAsia="hi-IN" w:bidi="hi-IN"/>
        </w:rPr>
      </w:pPr>
      <w:r w:rsidRPr="00284D44">
        <w:rPr>
          <w:rFonts w:asciiTheme="minorHAnsi" w:hAnsiTheme="minorHAnsi" w:cstheme="minorHAnsi"/>
          <w:b/>
          <w:kern w:val="1"/>
          <w:lang w:eastAsia="hi-IN" w:bidi="hi-IN"/>
        </w:rPr>
        <w:t>DATE:</w:t>
      </w:r>
      <w:r w:rsidRPr="00284D44">
        <w:rPr>
          <w:rFonts w:asciiTheme="minorHAnsi" w:hAnsiTheme="minorHAnsi" w:cstheme="minorHAnsi"/>
          <w:b/>
          <w:kern w:val="1"/>
          <w:lang w:eastAsia="hi-IN" w:bidi="hi-IN"/>
        </w:rPr>
        <w:tab/>
      </w:r>
      <w:r w:rsidRPr="00284D44">
        <w:rPr>
          <w:rFonts w:asciiTheme="minorHAnsi" w:hAnsiTheme="minorHAnsi" w:cstheme="minorHAnsi"/>
          <w:b/>
          <w:kern w:val="1"/>
          <w:lang w:eastAsia="hi-IN" w:bidi="hi-IN"/>
        </w:rPr>
        <w:tab/>
      </w:r>
      <w:r w:rsidR="0045637F" w:rsidRPr="0045637F">
        <w:rPr>
          <w:rFonts w:asciiTheme="minorHAnsi" w:hAnsiTheme="minorHAnsi" w:cstheme="minorHAnsi"/>
          <w:bCs/>
          <w:kern w:val="1"/>
          <w:lang w:eastAsia="hi-IN" w:bidi="hi-IN"/>
        </w:rPr>
        <w:t>May 2</w:t>
      </w:r>
      <w:r w:rsidR="005C4B15">
        <w:rPr>
          <w:rFonts w:asciiTheme="minorHAnsi" w:hAnsiTheme="minorHAnsi" w:cstheme="minorHAnsi"/>
          <w:bCs/>
          <w:kern w:val="1"/>
          <w:lang w:eastAsia="hi-IN" w:bidi="hi-IN"/>
        </w:rPr>
        <w:t>6</w:t>
      </w:r>
      <w:r w:rsidR="0045637F" w:rsidRPr="0045637F">
        <w:rPr>
          <w:rFonts w:asciiTheme="minorHAnsi" w:hAnsiTheme="minorHAnsi" w:cstheme="minorHAnsi"/>
          <w:bCs/>
          <w:kern w:val="1"/>
          <w:lang w:eastAsia="hi-IN" w:bidi="hi-IN"/>
        </w:rPr>
        <w:t>, 2022</w:t>
      </w:r>
    </w:p>
    <w:p w14:paraId="79E98C9D" w14:textId="2C1C7A1B" w:rsidR="00C668C1" w:rsidRPr="00284D44" w:rsidRDefault="00C668C1" w:rsidP="00C668C1">
      <w:pPr>
        <w:widowControl w:val="0"/>
        <w:suppressAutoHyphens/>
        <w:rPr>
          <w:rFonts w:asciiTheme="minorHAnsi" w:hAnsiTheme="minorHAnsi" w:cstheme="minorHAnsi"/>
          <w:b/>
          <w:kern w:val="1"/>
          <w:lang w:eastAsia="hi-IN" w:bidi="hi-IN"/>
        </w:rPr>
      </w:pPr>
      <w:r w:rsidRPr="00284D44">
        <w:rPr>
          <w:rFonts w:asciiTheme="minorHAnsi" w:hAnsiTheme="minorHAnsi" w:cstheme="minorHAnsi"/>
          <w:b/>
          <w:kern w:val="1"/>
          <w:lang w:eastAsia="hi-IN" w:bidi="hi-IN"/>
        </w:rPr>
        <w:t>TO:</w:t>
      </w:r>
      <w:r w:rsidRPr="00284D44">
        <w:rPr>
          <w:rFonts w:asciiTheme="minorHAnsi" w:hAnsiTheme="minorHAnsi" w:cstheme="minorHAnsi"/>
          <w:b/>
          <w:kern w:val="1"/>
          <w:lang w:eastAsia="hi-IN" w:bidi="hi-IN"/>
        </w:rPr>
        <w:tab/>
      </w:r>
      <w:r w:rsidRPr="00284D44">
        <w:rPr>
          <w:rFonts w:asciiTheme="minorHAnsi" w:hAnsiTheme="minorHAnsi" w:cstheme="minorHAnsi"/>
          <w:b/>
          <w:kern w:val="1"/>
          <w:lang w:eastAsia="hi-IN" w:bidi="hi-IN"/>
        </w:rPr>
        <w:tab/>
      </w:r>
      <w:r w:rsidR="00E404D5">
        <w:rPr>
          <w:rFonts w:asciiTheme="minorHAnsi" w:hAnsiTheme="minorHAnsi" w:cstheme="minorHAnsi"/>
          <w:bCs/>
          <w:kern w:val="1"/>
          <w:lang w:eastAsia="hi-IN" w:bidi="hi-IN"/>
        </w:rPr>
        <w:t>P</w:t>
      </w:r>
      <w:r w:rsidR="003B754B">
        <w:rPr>
          <w:rFonts w:asciiTheme="minorHAnsi" w:hAnsiTheme="minorHAnsi" w:cstheme="minorHAnsi"/>
          <w:bCs/>
          <w:kern w:val="1"/>
          <w:lang w:eastAsia="hi-IN" w:bidi="hi-IN"/>
        </w:rPr>
        <w:t>hylmar Regulatory Roundtable (P</w:t>
      </w:r>
      <w:r w:rsidR="00E404D5">
        <w:rPr>
          <w:rFonts w:asciiTheme="minorHAnsi" w:hAnsiTheme="minorHAnsi" w:cstheme="minorHAnsi"/>
          <w:bCs/>
          <w:kern w:val="1"/>
          <w:lang w:eastAsia="hi-IN" w:bidi="hi-IN"/>
        </w:rPr>
        <w:t>RR</w:t>
      </w:r>
      <w:r w:rsidR="003B754B">
        <w:rPr>
          <w:rFonts w:asciiTheme="minorHAnsi" w:hAnsiTheme="minorHAnsi" w:cstheme="minorHAnsi"/>
          <w:bCs/>
          <w:kern w:val="1"/>
          <w:lang w:eastAsia="hi-IN" w:bidi="hi-IN"/>
        </w:rPr>
        <w:t>)</w:t>
      </w:r>
      <w:r w:rsidR="00573318">
        <w:rPr>
          <w:rFonts w:asciiTheme="minorHAnsi" w:hAnsiTheme="minorHAnsi" w:cstheme="minorHAnsi"/>
          <w:bCs/>
          <w:kern w:val="1"/>
          <w:lang w:eastAsia="hi-IN" w:bidi="hi-IN"/>
        </w:rPr>
        <w:t>, OSH Forum</w:t>
      </w:r>
    </w:p>
    <w:p w14:paraId="0FC46929" w14:textId="77777777" w:rsidR="00C668C1" w:rsidRPr="00284D44" w:rsidRDefault="00C668C1" w:rsidP="00C668C1">
      <w:pPr>
        <w:widowControl w:val="0"/>
        <w:suppressAutoHyphens/>
        <w:rPr>
          <w:rFonts w:asciiTheme="minorHAnsi" w:hAnsiTheme="minorHAnsi" w:cstheme="minorHAnsi"/>
          <w:b/>
          <w:kern w:val="1"/>
          <w:lang w:eastAsia="hi-IN" w:bidi="hi-IN"/>
        </w:rPr>
      </w:pPr>
      <w:r w:rsidRPr="00284D44">
        <w:rPr>
          <w:rFonts w:asciiTheme="minorHAnsi" w:hAnsiTheme="minorHAnsi" w:cstheme="minorHAnsi"/>
          <w:b/>
          <w:kern w:val="1"/>
          <w:lang w:eastAsia="hi-IN" w:bidi="hi-IN"/>
        </w:rPr>
        <w:t>FROM:</w:t>
      </w:r>
      <w:r w:rsidRPr="00284D44">
        <w:rPr>
          <w:rFonts w:asciiTheme="minorHAnsi" w:hAnsiTheme="minorHAnsi" w:cstheme="minorHAnsi"/>
          <w:b/>
          <w:kern w:val="1"/>
          <w:lang w:eastAsia="hi-IN" w:bidi="hi-IN"/>
        </w:rPr>
        <w:tab/>
      </w:r>
      <w:r w:rsidRPr="00284D44">
        <w:rPr>
          <w:rFonts w:asciiTheme="minorHAnsi" w:hAnsiTheme="minorHAnsi" w:cstheme="minorHAnsi"/>
          <w:b/>
          <w:kern w:val="1"/>
          <w:lang w:eastAsia="hi-IN" w:bidi="hi-IN"/>
        </w:rPr>
        <w:tab/>
      </w:r>
      <w:r w:rsidRPr="00284D44">
        <w:rPr>
          <w:rFonts w:asciiTheme="minorHAnsi" w:hAnsiTheme="minorHAnsi" w:cstheme="minorHAnsi"/>
          <w:bCs/>
          <w:kern w:val="1"/>
          <w:lang w:eastAsia="hi-IN" w:bidi="hi-IN"/>
        </w:rPr>
        <w:t>Helen Cleary</w:t>
      </w:r>
    </w:p>
    <w:p w14:paraId="7D0302C3" w14:textId="6DFC4B8D" w:rsidR="00C668C1" w:rsidRPr="00B81BE6" w:rsidRDefault="00C668C1" w:rsidP="00C668C1">
      <w:pPr>
        <w:widowControl w:val="0"/>
        <w:suppressAutoHyphens/>
        <w:ind w:left="1440" w:hanging="1440"/>
        <w:rPr>
          <w:rFonts w:asciiTheme="minorHAnsi" w:hAnsiTheme="minorHAnsi" w:cstheme="minorHAnsi"/>
          <w:bCs/>
          <w:kern w:val="1"/>
          <w:lang w:eastAsia="hi-IN" w:bidi="hi-IN"/>
        </w:rPr>
      </w:pPr>
      <w:r w:rsidRPr="00284D44">
        <w:rPr>
          <w:rFonts w:asciiTheme="minorHAnsi" w:hAnsiTheme="minorHAnsi" w:cstheme="minorHAnsi"/>
          <w:b/>
          <w:kern w:val="1"/>
          <w:lang w:eastAsia="hi-IN" w:bidi="hi-IN"/>
        </w:rPr>
        <w:t xml:space="preserve">RE: </w:t>
      </w:r>
      <w:r w:rsidRPr="00284D44">
        <w:rPr>
          <w:rFonts w:asciiTheme="minorHAnsi" w:hAnsiTheme="minorHAnsi" w:cstheme="minorHAnsi"/>
          <w:b/>
          <w:kern w:val="1"/>
          <w:lang w:eastAsia="hi-IN" w:bidi="hi-IN"/>
        </w:rPr>
        <w:tab/>
      </w:r>
      <w:r w:rsidR="0045637F" w:rsidRPr="006927AA">
        <w:rPr>
          <w:rFonts w:asciiTheme="minorHAnsi" w:hAnsiTheme="minorHAnsi" w:cstheme="minorHAnsi"/>
          <w:bCs/>
          <w:kern w:val="1"/>
          <w:lang w:eastAsia="hi-IN" w:bidi="hi-IN"/>
        </w:rPr>
        <w:t>Update:</w:t>
      </w:r>
      <w:r w:rsidR="0045637F">
        <w:rPr>
          <w:rFonts w:asciiTheme="minorHAnsi" w:hAnsiTheme="minorHAnsi" w:cstheme="minorHAnsi"/>
          <w:b/>
          <w:kern w:val="1"/>
          <w:lang w:eastAsia="hi-IN" w:bidi="hi-IN"/>
        </w:rPr>
        <w:t xml:space="preserve"> </w:t>
      </w:r>
      <w:r w:rsidR="0027764A" w:rsidRPr="0027764A">
        <w:rPr>
          <w:rFonts w:asciiTheme="minorHAnsi" w:hAnsiTheme="minorHAnsi" w:cstheme="minorHAnsi"/>
          <w:bCs/>
          <w:kern w:val="1"/>
          <w:lang w:eastAsia="hi-IN" w:bidi="hi-IN"/>
        </w:rPr>
        <w:t>Fed</w:t>
      </w:r>
      <w:r w:rsidR="00833CFD" w:rsidRPr="00833CFD">
        <w:rPr>
          <w:rFonts w:asciiTheme="minorHAnsi" w:hAnsiTheme="minorHAnsi" w:cstheme="minorHAnsi"/>
          <w:bCs/>
          <w:kern w:val="1"/>
          <w:lang w:eastAsia="hi-IN" w:bidi="hi-IN"/>
        </w:rPr>
        <w:t xml:space="preserve">OSHA </w:t>
      </w:r>
      <w:r w:rsidR="00597752" w:rsidRPr="0060391E">
        <w:rPr>
          <w:rFonts w:asciiTheme="minorHAnsi" w:hAnsiTheme="minorHAnsi" w:cstheme="minorHAnsi"/>
          <w:bCs/>
          <w:kern w:val="1"/>
          <w:lang w:eastAsia="hi-IN" w:bidi="hi-IN"/>
        </w:rPr>
        <w:t>NPRM:</w:t>
      </w:r>
      <w:r w:rsidR="00597752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 w:rsidR="005B0161">
        <w:rPr>
          <w:rFonts w:asciiTheme="minorHAnsi" w:hAnsiTheme="minorHAnsi" w:cstheme="minorHAnsi"/>
          <w:bCs/>
          <w:kern w:val="1"/>
          <w:lang w:eastAsia="hi-IN" w:bidi="hi-IN"/>
        </w:rPr>
        <w:t>Improve Tracking of Workplace Injuries and Illnesses</w:t>
      </w:r>
      <w:r w:rsidR="00E379C9">
        <w:rPr>
          <w:rFonts w:asciiTheme="minorHAnsi" w:hAnsiTheme="minorHAnsi" w:cstheme="minorHAnsi"/>
          <w:bCs/>
          <w:kern w:val="1"/>
          <w:lang w:eastAsia="hi-IN" w:bidi="hi-IN"/>
        </w:rPr>
        <w:t xml:space="preserve"> (Electronic Recordkeeping Rule)</w:t>
      </w:r>
    </w:p>
    <w:p w14:paraId="1BD2E9C1" w14:textId="2D18AB14" w:rsidR="00921137" w:rsidRDefault="00921137" w:rsidP="00C100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7D15584A" w14:textId="36E90FAF" w:rsidR="00E92891" w:rsidRDefault="00E92891" w:rsidP="00C100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103C35ED" w14:textId="4D173265" w:rsidR="00E379C9" w:rsidRDefault="00597752" w:rsidP="00514A5A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On </w:t>
      </w:r>
      <w:r w:rsidR="005B0161">
        <w:rPr>
          <w:rFonts w:asciiTheme="minorHAnsi" w:hAnsiTheme="minorHAnsi" w:cstheme="minorHAnsi"/>
          <w:sz w:val="24"/>
          <w:szCs w:val="24"/>
        </w:rPr>
        <w:t>Ma</w:t>
      </w:r>
      <w:r w:rsidR="006143FF">
        <w:rPr>
          <w:rFonts w:asciiTheme="minorHAnsi" w:hAnsiTheme="minorHAnsi" w:cstheme="minorHAnsi"/>
          <w:sz w:val="24"/>
          <w:szCs w:val="24"/>
        </w:rPr>
        <w:t>y 25, 2022</w:t>
      </w:r>
      <w:r w:rsidR="005B016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="00573318">
        <w:rPr>
          <w:rFonts w:asciiTheme="minorHAnsi" w:hAnsiTheme="minorHAnsi" w:cstheme="minorHAnsi"/>
          <w:sz w:val="24"/>
          <w:szCs w:val="24"/>
        </w:rPr>
        <w:t xml:space="preserve">U.S. Department of Labor’s (DOL) </w:t>
      </w:r>
      <w:r>
        <w:rPr>
          <w:rFonts w:asciiTheme="minorHAnsi" w:hAnsiTheme="minorHAnsi" w:cstheme="minorHAnsi"/>
          <w:sz w:val="24"/>
          <w:szCs w:val="24"/>
        </w:rPr>
        <w:t>Occupational Safety and Health Administration (</w:t>
      </w:r>
      <w:r w:rsidR="00573318">
        <w:rPr>
          <w:rFonts w:asciiTheme="minorHAnsi" w:hAnsiTheme="minorHAnsi" w:cstheme="minorHAnsi"/>
          <w:sz w:val="24"/>
          <w:szCs w:val="24"/>
        </w:rPr>
        <w:t>OSHA/Fed</w:t>
      </w:r>
      <w:r>
        <w:rPr>
          <w:rFonts w:asciiTheme="minorHAnsi" w:hAnsiTheme="minorHAnsi" w:cstheme="minorHAnsi"/>
          <w:sz w:val="24"/>
          <w:szCs w:val="24"/>
        </w:rPr>
        <w:t>OSHA) published a</w:t>
      </w:r>
      <w:r w:rsidR="006143FF">
        <w:rPr>
          <w:rFonts w:asciiTheme="minorHAnsi" w:hAnsiTheme="minorHAnsi" w:cstheme="minorHAnsi"/>
          <w:sz w:val="24"/>
          <w:szCs w:val="24"/>
        </w:rPr>
        <w:t xml:space="preserve">n </w:t>
      </w:r>
      <w:hyperlink r:id="rId7" w:history="1">
        <w:r w:rsidR="006143FF" w:rsidRPr="006143FF">
          <w:rPr>
            <w:rStyle w:val="Hyperlink"/>
            <w:rFonts w:asciiTheme="minorHAnsi" w:hAnsiTheme="minorHAnsi" w:cstheme="minorHAnsi"/>
            <w:sz w:val="24"/>
            <w:szCs w:val="24"/>
          </w:rPr>
          <w:t>extension</w:t>
        </w:r>
      </w:hyperlink>
      <w:r w:rsidR="006143FF">
        <w:rPr>
          <w:rFonts w:asciiTheme="minorHAnsi" w:hAnsiTheme="minorHAnsi" w:cstheme="minorHAnsi"/>
          <w:sz w:val="24"/>
          <w:szCs w:val="24"/>
        </w:rPr>
        <w:t xml:space="preserve"> on the comment period for the</w:t>
      </w:r>
      <w:r>
        <w:rPr>
          <w:rFonts w:asciiTheme="minorHAnsi" w:hAnsiTheme="minorHAnsi" w:cstheme="minorHAnsi"/>
          <w:sz w:val="24"/>
          <w:szCs w:val="24"/>
        </w:rPr>
        <w:t xml:space="preserve"> Notice of Proposed Rulemaking (</w:t>
      </w:r>
      <w:hyperlink r:id="rId8" w:history="1">
        <w:r w:rsidRPr="001B6223">
          <w:rPr>
            <w:rStyle w:val="Hyperlink"/>
            <w:rFonts w:asciiTheme="minorHAnsi" w:hAnsiTheme="minorHAnsi" w:cstheme="minorHAnsi"/>
            <w:sz w:val="24"/>
            <w:szCs w:val="24"/>
          </w:rPr>
          <w:t>NPRM</w:t>
        </w:r>
      </w:hyperlink>
      <w:r>
        <w:rPr>
          <w:rFonts w:asciiTheme="minorHAnsi" w:hAnsiTheme="minorHAnsi" w:cstheme="minorHAnsi"/>
          <w:sz w:val="24"/>
          <w:szCs w:val="24"/>
        </w:rPr>
        <w:t xml:space="preserve">) to </w:t>
      </w:r>
      <w:r w:rsidR="00573318">
        <w:rPr>
          <w:rFonts w:asciiTheme="minorHAnsi" w:hAnsiTheme="minorHAnsi" w:cstheme="minorHAnsi"/>
          <w:sz w:val="24"/>
          <w:szCs w:val="24"/>
        </w:rPr>
        <w:t xml:space="preserve">update its </w:t>
      </w:r>
      <w:r w:rsidR="00E379C9">
        <w:rPr>
          <w:rFonts w:asciiTheme="minorHAnsi" w:hAnsiTheme="minorHAnsi" w:cstheme="minorHAnsi"/>
          <w:sz w:val="24"/>
          <w:szCs w:val="24"/>
        </w:rPr>
        <w:t xml:space="preserve">electronic </w:t>
      </w:r>
      <w:r w:rsidR="00DA1DBD">
        <w:rPr>
          <w:rFonts w:asciiTheme="minorHAnsi" w:hAnsiTheme="minorHAnsi" w:cstheme="minorHAnsi"/>
          <w:sz w:val="24"/>
          <w:szCs w:val="24"/>
        </w:rPr>
        <w:t xml:space="preserve">recordkeeping regulation: </w:t>
      </w:r>
      <w:hyperlink r:id="rId9" w:history="1">
        <w:r w:rsidR="00DA1DBD" w:rsidRPr="00DA1DBD">
          <w:rPr>
            <w:rStyle w:val="Hyperlink"/>
            <w:rFonts w:asciiTheme="minorHAnsi" w:hAnsiTheme="minorHAnsi" w:cstheme="minorHAnsi"/>
            <w:sz w:val="24"/>
            <w:szCs w:val="24"/>
          </w:rPr>
          <w:t>§1904.41</w:t>
        </w:r>
      </w:hyperlink>
      <w:r w:rsidR="00DA1DBD">
        <w:rPr>
          <w:rFonts w:asciiTheme="minorHAnsi" w:hAnsiTheme="minorHAnsi" w:cstheme="minorHAnsi"/>
          <w:sz w:val="24"/>
          <w:szCs w:val="24"/>
        </w:rPr>
        <w:t>.</w:t>
      </w:r>
    </w:p>
    <w:p w14:paraId="5C356709" w14:textId="64476A06" w:rsidR="006143FF" w:rsidRDefault="006143FF" w:rsidP="00514A5A">
      <w:pPr>
        <w:pStyle w:val="NormalWeb"/>
        <w:spacing w:before="0" w:beforeAutospacing="0" w:after="160" w:afterAutospacing="0"/>
        <w:rPr>
          <w:rFonts w:asciiTheme="minorHAnsi" w:hAnsiTheme="minorHAnsi" w:cstheme="minorHAnsi"/>
          <w:b/>
          <w:bCs/>
          <w:sz w:val="24"/>
          <w:szCs w:val="24"/>
        </w:rPr>
      </w:pPr>
      <w:r w:rsidRPr="006143FF">
        <w:rPr>
          <w:rFonts w:asciiTheme="minorHAnsi" w:hAnsiTheme="minorHAnsi" w:cstheme="minorHAnsi"/>
          <w:sz w:val="24"/>
          <w:szCs w:val="24"/>
        </w:rPr>
        <w:t>The original public comment deadline was May 31, 2022;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the comment period is now extended until June 30, 2022. </w:t>
      </w:r>
    </w:p>
    <w:p w14:paraId="2F105EB2" w14:textId="362D7BEC" w:rsidR="00A27C84" w:rsidRPr="00A27C84" w:rsidRDefault="00A27C84" w:rsidP="00514A5A">
      <w:pPr>
        <w:pStyle w:val="NormalWeb"/>
        <w:spacing w:before="0" w:beforeAutospacing="0" w:after="160" w:afterAutospacing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143F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Impact of Proposed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Requirements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to PRR Members</w:t>
      </w:r>
    </w:p>
    <w:p w14:paraId="57C00DD8" w14:textId="7BE0870A" w:rsidR="00A27C84" w:rsidRDefault="00A27C84" w:rsidP="00514A5A">
      <w:pPr>
        <w:pStyle w:val="NormalWeb"/>
        <w:spacing w:before="0" w:beforeAutospacing="0" w:after="160" w:afterAutospacing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Some PRR members will be directly impacted by this </w:t>
      </w:r>
      <w:r w:rsidR="00FF7C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NPRM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because their NAICS codes are identified in Appendix B.</w:t>
      </w:r>
      <w:r w:rsidR="00056918" w:rsidRPr="0005691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F7CAD">
        <w:rPr>
          <w:rFonts w:asciiTheme="minorHAnsi" w:hAnsiTheme="minorHAnsi" w:cstheme="minorHAnsi"/>
          <w:color w:val="000000" w:themeColor="text1"/>
          <w:sz w:val="24"/>
          <w:szCs w:val="24"/>
        </w:rPr>
        <w:t>Other</w:t>
      </w:r>
      <w:r w:rsidR="00056918" w:rsidRPr="0005691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PRR members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’ NAICS codes are only on proposed Appendix A. (See below for details.)</w:t>
      </w:r>
    </w:p>
    <w:p w14:paraId="1CB17277" w14:textId="5B516D26" w:rsidR="00A27C84" w:rsidRPr="00A27C84" w:rsidRDefault="00A27C84" w:rsidP="00A27C84">
      <w:pPr>
        <w:spacing w:after="160"/>
        <w:rPr>
          <w:rFonts w:asciiTheme="minorHAnsi" w:hAnsiTheme="minorHAnsi" w:cstheme="minorHAnsi"/>
        </w:rPr>
      </w:pPr>
      <w:r w:rsidRPr="00A27C84">
        <w:rPr>
          <w:rFonts w:asciiTheme="minorHAnsi" w:hAnsiTheme="minorHAnsi" w:cstheme="minorHAnsi"/>
          <w:color w:val="000000" w:themeColor="text1"/>
        </w:rPr>
        <w:t>However, the</w:t>
      </w:r>
      <w:r w:rsidRPr="00A27C84">
        <w:rPr>
          <w:rFonts w:asciiTheme="minorHAnsi" w:hAnsiTheme="minorHAnsi" w:cstheme="minorHAnsi"/>
          <w:color w:val="000000" w:themeColor="text1"/>
        </w:rPr>
        <w:t xml:space="preserve"> NPRM states:</w:t>
      </w:r>
    </w:p>
    <w:p w14:paraId="5E8103B7" w14:textId="77777777" w:rsidR="00A27C84" w:rsidRPr="00056918" w:rsidRDefault="00A27C84" w:rsidP="00A27C84">
      <w:pPr>
        <w:pStyle w:val="ListParagraph"/>
        <w:spacing w:after="160"/>
        <w:rPr>
          <w:rFonts w:asciiTheme="minorHAnsi" w:hAnsiTheme="minorHAnsi" w:cstheme="minorHAnsi"/>
          <w:b/>
          <w:bCs/>
        </w:rPr>
      </w:pPr>
      <w:r w:rsidRPr="00056918">
        <w:rPr>
          <w:rFonts w:asciiTheme="minorHAnsi" w:hAnsiTheme="minorHAnsi" w:cstheme="minorHAnsi"/>
          <w:b/>
          <w:bCs/>
        </w:rPr>
        <w:t>"When developing the final rule, OSHA may rely on the most current data available, as appropriate, for determining the list of industries in Appendix B..."</w:t>
      </w:r>
    </w:p>
    <w:p w14:paraId="4E5F8AC1" w14:textId="44C15B3A" w:rsidR="00A27C84" w:rsidRPr="00A27C84" w:rsidRDefault="00A27C84" w:rsidP="00A27C84">
      <w:pPr>
        <w:spacing w:after="160"/>
        <w:rPr>
          <w:rFonts w:asciiTheme="minorHAnsi" w:hAnsiTheme="minorHAnsi" w:cstheme="minorHAnsi"/>
        </w:rPr>
      </w:pPr>
      <w:r w:rsidRPr="00A27C84">
        <w:rPr>
          <w:rFonts w:asciiTheme="minorHAnsi" w:hAnsiTheme="minorHAnsi" w:cstheme="minorHAnsi"/>
        </w:rPr>
        <w:t>This</w:t>
      </w:r>
      <w:r w:rsidR="00D64865">
        <w:rPr>
          <w:rFonts w:asciiTheme="minorHAnsi" w:hAnsiTheme="minorHAnsi" w:cstheme="minorHAnsi"/>
        </w:rPr>
        <w:t xml:space="preserve"> statement, </w:t>
      </w:r>
      <w:r>
        <w:rPr>
          <w:rFonts w:asciiTheme="minorHAnsi" w:hAnsiTheme="minorHAnsi" w:cstheme="minorHAnsi"/>
        </w:rPr>
        <w:t xml:space="preserve">the anticipation that labor groups </w:t>
      </w:r>
      <w:r w:rsidR="00FF7CAD">
        <w:rPr>
          <w:rFonts w:asciiTheme="minorHAnsi" w:hAnsiTheme="minorHAnsi" w:cstheme="minorHAnsi"/>
        </w:rPr>
        <w:t>will strongly recommend OSHA</w:t>
      </w:r>
      <w:r>
        <w:rPr>
          <w:rFonts w:asciiTheme="minorHAnsi" w:hAnsiTheme="minorHAnsi" w:cstheme="minorHAnsi"/>
        </w:rPr>
        <w:t xml:space="preserve"> expand Appendix B to include additional subsets of industries identified in Appendix A</w:t>
      </w:r>
      <w:r w:rsidR="00D64865">
        <w:rPr>
          <w:rFonts w:asciiTheme="minorHAnsi" w:hAnsiTheme="minorHAnsi" w:cstheme="minorHAnsi"/>
        </w:rPr>
        <w:t>, and the direct impact this rule will have on all State Plan States</w:t>
      </w:r>
      <w:r>
        <w:rPr>
          <w:rFonts w:asciiTheme="minorHAnsi" w:hAnsiTheme="minorHAnsi" w:cstheme="minorHAnsi"/>
        </w:rPr>
        <w:t xml:space="preserve"> necessitates PRR submitting comments.</w:t>
      </w:r>
    </w:p>
    <w:p w14:paraId="3652F85D" w14:textId="12E7789A" w:rsidR="00A27C84" w:rsidRPr="00A27C84" w:rsidRDefault="00A27C84" w:rsidP="00A27C84">
      <w:pPr>
        <w:spacing w:after="160"/>
        <w:rPr>
          <w:rFonts w:asciiTheme="minorHAnsi" w:hAnsiTheme="minorHAnsi" w:cstheme="minorHAnsi"/>
          <w:b/>
          <w:bCs/>
          <w:i/>
          <w:iCs/>
        </w:rPr>
      </w:pPr>
      <w:r w:rsidRPr="00A27C84">
        <w:rPr>
          <w:rFonts w:asciiTheme="minorHAnsi" w:hAnsiTheme="minorHAnsi" w:cstheme="minorHAnsi"/>
          <w:b/>
          <w:bCs/>
          <w:i/>
          <w:iCs/>
        </w:rPr>
        <w:t>If OSHA determines that additional industries should be included in Appendix B</w:t>
      </w:r>
      <w:r>
        <w:rPr>
          <w:rFonts w:asciiTheme="minorHAnsi" w:hAnsiTheme="minorHAnsi" w:cstheme="minorHAnsi"/>
          <w:b/>
          <w:bCs/>
          <w:i/>
          <w:iCs/>
        </w:rPr>
        <w:t xml:space="preserve"> when the final rule is issued</w:t>
      </w:r>
      <w:r w:rsidRPr="00A27C84">
        <w:rPr>
          <w:rFonts w:asciiTheme="minorHAnsi" w:hAnsiTheme="minorHAnsi" w:cstheme="minorHAnsi"/>
          <w:b/>
          <w:bCs/>
          <w:i/>
          <w:iCs/>
        </w:rPr>
        <w:t>, PRR members identified in Appendix A may be required by the final rule to electronically submit OSHA Forms 300, 301, 300A.</w:t>
      </w:r>
    </w:p>
    <w:p w14:paraId="22BB495D" w14:textId="0A8F9E9B" w:rsidR="00056918" w:rsidRPr="006927AA" w:rsidRDefault="00A27C84" w:rsidP="00514A5A">
      <w:pPr>
        <w:pStyle w:val="NormalWeb"/>
        <w:spacing w:before="0" w:beforeAutospacing="0" w:after="160" w:afterAutospacing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This comment period will be the only opportunity to provide OSHA with feedback on the </w:t>
      </w:r>
      <w:r w:rsidR="00FF7C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proposed </w:t>
      </w:r>
      <w:r w:rsidRPr="00FF7CAD">
        <w:rPr>
          <w:rFonts w:asciiTheme="minorHAnsi" w:hAnsiTheme="minorHAnsi" w:cstheme="minorHAnsi"/>
          <w:color w:val="000000" w:themeColor="text1"/>
          <w:sz w:val="24"/>
          <w:szCs w:val="24"/>
        </w:rPr>
        <w:t>expansion of electronic recordkeeping requirements.</w:t>
      </w:r>
      <w:r w:rsidR="006927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56918" w:rsidRPr="006927AA">
        <w:rPr>
          <w:rFonts w:asciiTheme="minorHAnsi" w:hAnsiTheme="minorHAnsi" w:cstheme="minorHAnsi"/>
          <w:color w:val="000000" w:themeColor="text1"/>
          <w:sz w:val="24"/>
          <w:szCs w:val="24"/>
        </w:rPr>
        <w:t>PRR encourages</w:t>
      </w:r>
      <w:r w:rsidR="00056918" w:rsidRPr="00FF7C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056918" w:rsidRPr="00FF7CAD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all member organizations</w:t>
      </w:r>
      <w:r w:rsidR="00056918" w:rsidRPr="00FF7C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056918" w:rsidRPr="00FF7C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with NAICS codes on OSHA’s proposed Appendix A </w:t>
      </w:r>
      <w:r w:rsidR="00056918" w:rsidRPr="00FF7CAD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and</w:t>
      </w:r>
      <w:r w:rsidR="00056918" w:rsidRPr="00FF7C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B </w:t>
      </w:r>
      <w:r w:rsidR="00056918" w:rsidRPr="00FF7C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to participate and provide feedback on the NPRM.</w:t>
      </w:r>
    </w:p>
    <w:p w14:paraId="14DDEAA5" w14:textId="308BBF5A" w:rsidR="00A27C84" w:rsidRPr="00A27C84" w:rsidRDefault="00A27C84" w:rsidP="00514A5A">
      <w:pPr>
        <w:pStyle w:val="NormalWeb"/>
        <w:spacing w:before="0" w:beforeAutospacing="0" w:after="160" w:afterAutospacing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27C84">
        <w:rPr>
          <w:rFonts w:asciiTheme="minorHAnsi" w:hAnsiTheme="minorHAnsi" w:cstheme="minorHAnsi"/>
          <w:b/>
          <w:bCs/>
          <w:sz w:val="24"/>
          <w:szCs w:val="24"/>
          <w:u w:val="single"/>
        </w:rPr>
        <w:t>Proposed Requirements</w:t>
      </w:r>
    </w:p>
    <w:p w14:paraId="2D36ADE7" w14:textId="42F475E7" w:rsidR="006143FF" w:rsidRDefault="006143FF" w:rsidP="006143FF">
      <w:pPr>
        <w:pStyle w:val="NormalWeb"/>
        <w:numPr>
          <w:ilvl w:val="0"/>
          <w:numId w:val="23"/>
        </w:numPr>
        <w:spacing w:before="0" w:beforeAutospacing="0" w:after="16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Companies with </w:t>
      </w:r>
      <w:r w:rsidRPr="006143FF">
        <w:rPr>
          <w:rFonts w:asciiTheme="minorHAnsi" w:hAnsiTheme="minorHAnsi" w:cstheme="minorHAnsi"/>
          <w:b/>
          <w:bCs/>
          <w:sz w:val="24"/>
          <w:szCs w:val="24"/>
        </w:rPr>
        <w:t>100 or more employees</w:t>
      </w:r>
      <w:r>
        <w:rPr>
          <w:rFonts w:asciiTheme="minorHAnsi" w:hAnsiTheme="minorHAnsi" w:cstheme="minorHAnsi"/>
          <w:sz w:val="24"/>
          <w:szCs w:val="24"/>
        </w:rPr>
        <w:t xml:space="preserve"> whose </w:t>
      </w:r>
      <w:r w:rsidRPr="006143FF">
        <w:rPr>
          <w:rFonts w:asciiTheme="minorHAnsi" w:hAnsiTheme="minorHAnsi" w:cstheme="minorHAnsi"/>
          <w:sz w:val="24"/>
          <w:szCs w:val="24"/>
        </w:rPr>
        <w:t xml:space="preserve">NAICS code is identified in OSHA’s </w:t>
      </w:r>
      <w:hyperlink r:id="rId10" w:anchor="p-196" w:history="1">
        <w:r w:rsidRPr="006143FF">
          <w:rPr>
            <w:rStyle w:val="Hyperlink"/>
            <w:rFonts w:asciiTheme="minorHAnsi" w:hAnsiTheme="minorHAnsi" w:cstheme="minorHAnsi"/>
            <w:sz w:val="24"/>
            <w:szCs w:val="24"/>
          </w:rPr>
          <w:t>Proposed Appendix B</w:t>
        </w:r>
      </w:hyperlink>
      <w:r w:rsidRPr="006143F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will be </w:t>
      </w:r>
      <w:r w:rsidRPr="006143FF">
        <w:rPr>
          <w:rFonts w:asciiTheme="minorHAnsi" w:hAnsiTheme="minorHAnsi" w:cstheme="minorHAnsi"/>
          <w:b/>
          <w:bCs/>
          <w:sz w:val="24"/>
          <w:szCs w:val="24"/>
        </w:rPr>
        <w:t>required to electronically submit OSHA Forms 300, 300A, and 301, annually</w:t>
      </w:r>
      <w:r>
        <w:rPr>
          <w:rFonts w:asciiTheme="minorHAnsi" w:hAnsiTheme="minorHAnsi" w:cstheme="minorHAnsi"/>
          <w:sz w:val="24"/>
          <w:szCs w:val="24"/>
        </w:rPr>
        <w:t>. This includes NAICS:</w:t>
      </w:r>
    </w:p>
    <w:p w14:paraId="0E4924E1" w14:textId="50EABCD1" w:rsidR="006143FF" w:rsidRPr="006143FF" w:rsidRDefault="006143FF" w:rsidP="006143FF">
      <w:pPr>
        <w:pStyle w:val="NormalWeb"/>
        <w:numPr>
          <w:ilvl w:val="1"/>
          <w:numId w:val="23"/>
        </w:numPr>
        <w:spacing w:before="0" w:beforeAutospacing="0" w:after="80" w:afterAutospacing="0"/>
        <w:rPr>
          <w:rFonts w:asciiTheme="minorHAnsi" w:hAnsiTheme="minorHAnsi" w:cstheme="minorHAnsi"/>
          <w:sz w:val="24"/>
          <w:szCs w:val="24"/>
        </w:rPr>
      </w:pPr>
      <w:r w:rsidRPr="006143FF">
        <w:rPr>
          <w:rFonts w:asciiTheme="minorHAnsi" w:hAnsiTheme="minorHAnsi" w:cstheme="minorHAnsi"/>
          <w:sz w:val="24"/>
          <w:szCs w:val="24"/>
          <w:u w:val="single"/>
        </w:rPr>
        <w:lastRenderedPageBreak/>
        <w:t>2213</w:t>
      </w:r>
      <w:r w:rsidRPr="006143FF">
        <w:rPr>
          <w:rFonts w:asciiTheme="minorHAnsi" w:hAnsiTheme="minorHAnsi" w:cstheme="minorHAnsi"/>
          <w:sz w:val="24"/>
          <w:szCs w:val="24"/>
        </w:rPr>
        <w:t xml:space="preserve"> – Water, sewage, and other systems</w:t>
      </w:r>
    </w:p>
    <w:p w14:paraId="6E67A986" w14:textId="0B3A062C" w:rsidR="006143FF" w:rsidRPr="006143FF" w:rsidRDefault="006143FF" w:rsidP="006143FF">
      <w:pPr>
        <w:pStyle w:val="NormalWeb"/>
        <w:numPr>
          <w:ilvl w:val="1"/>
          <w:numId w:val="23"/>
        </w:numPr>
        <w:spacing w:before="0" w:beforeAutospacing="0" w:after="80" w:afterAutospacing="0"/>
        <w:rPr>
          <w:rFonts w:asciiTheme="minorHAnsi" w:hAnsiTheme="minorHAnsi" w:cstheme="minorHAnsi"/>
          <w:sz w:val="24"/>
          <w:szCs w:val="24"/>
        </w:rPr>
      </w:pPr>
      <w:r w:rsidRPr="006143FF">
        <w:rPr>
          <w:rFonts w:asciiTheme="minorHAnsi" w:hAnsiTheme="minorHAnsi" w:cstheme="minorHAnsi"/>
          <w:sz w:val="24"/>
          <w:szCs w:val="24"/>
          <w:u w:val="single"/>
        </w:rPr>
        <w:t>3162</w:t>
      </w:r>
      <w:r w:rsidRPr="006143FF">
        <w:rPr>
          <w:rFonts w:asciiTheme="minorHAnsi" w:hAnsiTheme="minorHAnsi" w:cstheme="minorHAnsi"/>
          <w:sz w:val="24"/>
          <w:szCs w:val="24"/>
        </w:rPr>
        <w:t xml:space="preserve"> – Footwear manufacturing</w:t>
      </w:r>
    </w:p>
    <w:p w14:paraId="4C0B7231" w14:textId="0C5A7361" w:rsidR="006143FF" w:rsidRPr="006143FF" w:rsidRDefault="006143FF" w:rsidP="006143FF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Theme="minorHAnsi" w:hAnsiTheme="minorHAnsi" w:cstheme="minorHAnsi"/>
          <w:sz w:val="24"/>
          <w:szCs w:val="24"/>
        </w:rPr>
      </w:pPr>
      <w:r w:rsidRPr="006143FF">
        <w:rPr>
          <w:rFonts w:asciiTheme="minorHAnsi" w:hAnsiTheme="minorHAnsi" w:cstheme="minorHAnsi"/>
          <w:sz w:val="24"/>
          <w:szCs w:val="24"/>
          <w:u w:val="single"/>
        </w:rPr>
        <w:t>3314</w:t>
      </w:r>
      <w:r w:rsidRPr="006143FF">
        <w:rPr>
          <w:rFonts w:asciiTheme="minorHAnsi" w:hAnsiTheme="minorHAnsi" w:cstheme="minorHAnsi"/>
          <w:sz w:val="24"/>
          <w:szCs w:val="24"/>
        </w:rPr>
        <w:t xml:space="preserve"> – Nonferrous metal production and processing</w:t>
      </w:r>
    </w:p>
    <w:p w14:paraId="53A06FED" w14:textId="1BA8B41C" w:rsidR="006143FF" w:rsidRDefault="006143FF" w:rsidP="006143FF">
      <w:pPr>
        <w:pStyle w:val="NormalWeb"/>
        <w:numPr>
          <w:ilvl w:val="0"/>
          <w:numId w:val="23"/>
        </w:numPr>
        <w:spacing w:before="0" w:beforeAutospacing="0" w:after="16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Companies with </w:t>
      </w:r>
      <w:r w:rsidRPr="006143FF">
        <w:rPr>
          <w:rFonts w:asciiTheme="minorHAnsi" w:hAnsiTheme="minorHAnsi" w:cstheme="minorHAnsi"/>
          <w:b/>
          <w:bCs/>
          <w:sz w:val="24"/>
          <w:szCs w:val="24"/>
        </w:rPr>
        <w:t>20 or more employees</w:t>
      </w:r>
      <w:r>
        <w:rPr>
          <w:rFonts w:asciiTheme="minorHAnsi" w:hAnsiTheme="minorHAnsi" w:cstheme="minorHAnsi"/>
          <w:sz w:val="24"/>
          <w:szCs w:val="24"/>
        </w:rPr>
        <w:t xml:space="preserve"> on OSHA’s </w:t>
      </w:r>
      <w:hyperlink r:id="rId11" w:anchor="p-125" w:history="1">
        <w:r w:rsidRPr="00AE30BA">
          <w:rPr>
            <w:rStyle w:val="Hyperlink"/>
            <w:rFonts w:asciiTheme="minorHAnsi" w:hAnsiTheme="minorHAnsi" w:cstheme="minorHAnsi"/>
            <w:sz w:val="24"/>
            <w:szCs w:val="24"/>
          </w:rPr>
          <w:t>Proposed Appendix A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will be </w:t>
      </w:r>
      <w:r w:rsidRPr="006143FF">
        <w:rPr>
          <w:rFonts w:asciiTheme="minorHAnsi" w:hAnsiTheme="minorHAnsi" w:cstheme="minorHAnsi"/>
          <w:b/>
          <w:bCs/>
          <w:sz w:val="24"/>
          <w:szCs w:val="24"/>
        </w:rPr>
        <w:t>required to electronically submit OSHA Form 300A</w:t>
      </w:r>
      <w:r>
        <w:rPr>
          <w:rFonts w:asciiTheme="minorHAnsi" w:hAnsiTheme="minorHAnsi" w:cstheme="minorHAnsi"/>
          <w:sz w:val="24"/>
          <w:szCs w:val="24"/>
        </w:rPr>
        <w:t>, annually. This includes NAICS:</w:t>
      </w:r>
    </w:p>
    <w:p w14:paraId="32124EBE" w14:textId="77DA7B33" w:rsidR="006143FF" w:rsidRPr="006143FF" w:rsidRDefault="006143FF" w:rsidP="006143FF">
      <w:pPr>
        <w:pStyle w:val="NormalWeb"/>
        <w:numPr>
          <w:ilvl w:val="1"/>
          <w:numId w:val="23"/>
        </w:numPr>
        <w:spacing w:before="0" w:beforeAutospacing="0" w:after="80" w:afterAutospacing="0"/>
        <w:rPr>
          <w:rFonts w:asciiTheme="minorHAnsi" w:hAnsiTheme="minorHAnsi" w:cstheme="minorHAnsi"/>
          <w:sz w:val="24"/>
          <w:szCs w:val="24"/>
        </w:rPr>
      </w:pPr>
      <w:r w:rsidRPr="006143FF">
        <w:rPr>
          <w:rFonts w:asciiTheme="minorHAnsi" w:hAnsiTheme="minorHAnsi" w:cstheme="minorHAnsi"/>
          <w:sz w:val="24"/>
          <w:szCs w:val="24"/>
          <w:u w:val="single"/>
        </w:rPr>
        <w:t>22</w:t>
      </w:r>
      <w:r w:rsidRPr="006143FF">
        <w:rPr>
          <w:rFonts w:asciiTheme="minorHAnsi" w:hAnsiTheme="minorHAnsi" w:cstheme="minorHAnsi"/>
          <w:sz w:val="24"/>
          <w:szCs w:val="24"/>
        </w:rPr>
        <w:t xml:space="preserve"> – Utilities</w:t>
      </w:r>
    </w:p>
    <w:p w14:paraId="1AFC34C7" w14:textId="04481541" w:rsidR="006143FF" w:rsidRPr="006143FF" w:rsidRDefault="006143FF" w:rsidP="006143FF">
      <w:pPr>
        <w:pStyle w:val="NormalWeb"/>
        <w:numPr>
          <w:ilvl w:val="1"/>
          <w:numId w:val="23"/>
        </w:numPr>
        <w:spacing w:before="0" w:beforeAutospacing="0" w:after="80" w:afterAutospacing="0"/>
        <w:rPr>
          <w:rFonts w:asciiTheme="minorHAnsi" w:hAnsiTheme="minorHAnsi" w:cstheme="minorHAnsi"/>
          <w:sz w:val="24"/>
          <w:szCs w:val="24"/>
        </w:rPr>
      </w:pPr>
      <w:r w:rsidRPr="006143FF">
        <w:rPr>
          <w:rFonts w:asciiTheme="minorHAnsi" w:hAnsiTheme="minorHAnsi" w:cstheme="minorHAnsi"/>
          <w:sz w:val="24"/>
          <w:szCs w:val="24"/>
          <w:u w:val="single"/>
        </w:rPr>
        <w:t>31</w:t>
      </w:r>
      <w:r>
        <w:rPr>
          <w:rFonts w:asciiTheme="minorHAnsi" w:hAnsiTheme="minorHAnsi" w:cstheme="minorHAnsi"/>
          <w:sz w:val="24"/>
          <w:szCs w:val="24"/>
          <w:u w:val="single"/>
        </w:rPr>
        <w:t>-</w:t>
      </w:r>
      <w:proofErr w:type="gramStart"/>
      <w:r w:rsidRPr="006143FF">
        <w:rPr>
          <w:rFonts w:asciiTheme="minorHAnsi" w:hAnsiTheme="minorHAnsi" w:cstheme="minorHAnsi"/>
          <w:sz w:val="24"/>
          <w:szCs w:val="24"/>
          <w:u w:val="single"/>
        </w:rPr>
        <w:t>33</w:t>
      </w:r>
      <w:r w:rsidRPr="006143FF">
        <w:rPr>
          <w:rFonts w:asciiTheme="minorHAnsi" w:hAnsiTheme="minorHAnsi" w:cstheme="minorHAnsi"/>
          <w:sz w:val="24"/>
          <w:szCs w:val="24"/>
        </w:rPr>
        <w:t xml:space="preserve">  –</w:t>
      </w:r>
      <w:proofErr w:type="gramEnd"/>
      <w:r w:rsidRPr="006143FF">
        <w:rPr>
          <w:rFonts w:asciiTheme="minorHAnsi" w:hAnsiTheme="minorHAnsi" w:cstheme="minorHAnsi"/>
          <w:sz w:val="24"/>
          <w:szCs w:val="24"/>
        </w:rPr>
        <w:t xml:space="preserve"> Manufacturing</w:t>
      </w:r>
    </w:p>
    <w:p w14:paraId="4011D355" w14:textId="29B7FD02" w:rsidR="006143FF" w:rsidRPr="006143FF" w:rsidRDefault="006143FF" w:rsidP="006143FF">
      <w:pPr>
        <w:pStyle w:val="NormalWeb"/>
        <w:numPr>
          <w:ilvl w:val="1"/>
          <w:numId w:val="23"/>
        </w:numPr>
        <w:spacing w:before="0" w:beforeAutospacing="0" w:after="80" w:afterAutospacing="0"/>
        <w:rPr>
          <w:rFonts w:asciiTheme="minorHAnsi" w:hAnsiTheme="minorHAnsi" w:cstheme="minorHAnsi"/>
          <w:sz w:val="24"/>
          <w:szCs w:val="24"/>
        </w:rPr>
      </w:pPr>
      <w:r w:rsidRPr="006143FF">
        <w:rPr>
          <w:rFonts w:asciiTheme="minorHAnsi" w:hAnsiTheme="minorHAnsi" w:cstheme="minorHAnsi"/>
          <w:sz w:val="24"/>
          <w:szCs w:val="24"/>
          <w:u w:val="single"/>
        </w:rPr>
        <w:t>42</w:t>
      </w:r>
      <w:r w:rsidRPr="006143FF">
        <w:rPr>
          <w:rFonts w:asciiTheme="minorHAnsi" w:hAnsiTheme="minorHAnsi" w:cstheme="minorHAnsi"/>
          <w:sz w:val="24"/>
          <w:szCs w:val="24"/>
        </w:rPr>
        <w:t xml:space="preserve"> – Wholesale Trade</w:t>
      </w:r>
    </w:p>
    <w:p w14:paraId="12721171" w14:textId="3FB08AEB" w:rsidR="006143FF" w:rsidRPr="006143FF" w:rsidRDefault="006143FF" w:rsidP="006143FF">
      <w:pPr>
        <w:pStyle w:val="NormalWeb"/>
        <w:numPr>
          <w:ilvl w:val="1"/>
          <w:numId w:val="23"/>
        </w:numPr>
        <w:spacing w:before="0" w:beforeAutospacing="0" w:after="80" w:afterAutospacing="0"/>
        <w:rPr>
          <w:rFonts w:asciiTheme="minorHAnsi" w:hAnsiTheme="minorHAnsi" w:cstheme="minorHAnsi"/>
          <w:sz w:val="24"/>
          <w:szCs w:val="24"/>
        </w:rPr>
      </w:pPr>
      <w:r w:rsidRPr="006143FF">
        <w:rPr>
          <w:rFonts w:asciiTheme="minorHAnsi" w:hAnsiTheme="minorHAnsi" w:cstheme="minorHAnsi"/>
          <w:sz w:val="24"/>
          <w:szCs w:val="24"/>
          <w:u w:val="single"/>
        </w:rPr>
        <w:t>5152</w:t>
      </w:r>
      <w:r w:rsidRPr="006143FF">
        <w:rPr>
          <w:rFonts w:asciiTheme="minorHAnsi" w:hAnsiTheme="minorHAnsi" w:cstheme="minorHAnsi"/>
          <w:sz w:val="24"/>
          <w:szCs w:val="24"/>
        </w:rPr>
        <w:t xml:space="preserve"> – Cable and Other Subscription Programming</w:t>
      </w:r>
    </w:p>
    <w:p w14:paraId="72CE4258" w14:textId="4BFCC7B9" w:rsidR="006143FF" w:rsidRDefault="006143FF" w:rsidP="006143FF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Theme="minorHAnsi" w:hAnsiTheme="minorHAnsi" w:cstheme="minorHAnsi"/>
          <w:sz w:val="24"/>
          <w:szCs w:val="24"/>
        </w:rPr>
      </w:pPr>
      <w:r w:rsidRPr="006143FF">
        <w:rPr>
          <w:rFonts w:asciiTheme="minorHAnsi" w:hAnsiTheme="minorHAnsi" w:cstheme="minorHAnsi"/>
          <w:sz w:val="24"/>
          <w:szCs w:val="24"/>
          <w:u w:val="single"/>
        </w:rPr>
        <w:t>5311</w:t>
      </w:r>
      <w:r w:rsidRPr="006143FF">
        <w:rPr>
          <w:rFonts w:asciiTheme="minorHAnsi" w:hAnsiTheme="minorHAnsi" w:cstheme="minorHAnsi"/>
          <w:sz w:val="24"/>
          <w:szCs w:val="24"/>
        </w:rPr>
        <w:t xml:space="preserve"> – Lessors of Real Estate</w:t>
      </w:r>
    </w:p>
    <w:p w14:paraId="4093DD70" w14:textId="405E844D" w:rsidR="006143FF" w:rsidRDefault="006143FF" w:rsidP="006143FF">
      <w:pPr>
        <w:pStyle w:val="NormalWeb"/>
        <w:spacing w:before="0" w:beforeAutospacing="0" w:after="160" w:afterAutospacing="0"/>
        <w:ind w:left="720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Establishments that would be required to electronically submit Form 300A under this proposed rule are already required to </w:t>
      </w:r>
      <w:r w:rsidR="00056918">
        <w:rPr>
          <w:rFonts w:asciiTheme="minorHAnsi" w:hAnsiTheme="minorHAnsi" w:cstheme="minorHAnsi"/>
          <w:i/>
          <w:iCs/>
          <w:sz w:val="24"/>
          <w:szCs w:val="24"/>
        </w:rPr>
        <w:t xml:space="preserve">submit </w:t>
      </w:r>
      <w:r>
        <w:rPr>
          <w:rFonts w:asciiTheme="minorHAnsi" w:hAnsiTheme="minorHAnsi" w:cstheme="minorHAnsi"/>
          <w:i/>
          <w:iCs/>
          <w:sz w:val="24"/>
          <w:szCs w:val="24"/>
        </w:rPr>
        <w:t>under</w:t>
      </w:r>
      <w:r w:rsidRPr="006143FF">
        <w:rPr>
          <w:rFonts w:asciiTheme="minorHAnsi" w:hAnsiTheme="minorHAnsi" w:cstheme="minorHAnsi"/>
          <w:i/>
          <w:iCs/>
          <w:sz w:val="24"/>
          <w:szCs w:val="24"/>
        </w:rPr>
        <w:t xml:space="preserve"> the current rule.</w:t>
      </w:r>
    </w:p>
    <w:p w14:paraId="3B86E1DE" w14:textId="1960EC2E" w:rsidR="006143FF" w:rsidRPr="006143FF" w:rsidRDefault="006143FF" w:rsidP="006143FF">
      <w:pPr>
        <w:pStyle w:val="NormalWeb"/>
        <w:spacing w:before="0" w:beforeAutospacing="0" w:after="160" w:afterAutospacing="0"/>
        <w:ind w:left="720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OSHA has provided a list of industries in which establishments with 250 or more employees would no longer be required to electronically submit Form 300A on the Docket </w:t>
      </w:r>
      <w:hyperlink r:id="rId12" w:history="1">
        <w:r w:rsidRPr="006143FF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OSHA-2021-0006</w:t>
        </w:r>
      </w:hyperlink>
      <w:r>
        <w:rPr>
          <w:rFonts w:asciiTheme="minorHAnsi" w:hAnsiTheme="minorHAnsi" w:cstheme="minorHAnsi"/>
          <w:i/>
          <w:iCs/>
          <w:sz w:val="24"/>
          <w:szCs w:val="24"/>
        </w:rPr>
        <w:t xml:space="preserve">. Based on PRR Staff’s assessment, there are no PRR member industries identified. </w:t>
      </w:r>
    </w:p>
    <w:p w14:paraId="3C90F3AD" w14:textId="77777777" w:rsidR="00A27C84" w:rsidRDefault="00A27C84" w:rsidP="00A27C84">
      <w:pPr>
        <w:pStyle w:val="NormalWeb"/>
        <w:numPr>
          <w:ilvl w:val="0"/>
          <w:numId w:val="23"/>
        </w:numPr>
        <w:spacing w:before="0" w:beforeAutospacing="0" w:after="16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Proposed: </w:t>
      </w:r>
      <w:r w:rsidRPr="006143FF">
        <w:rPr>
          <w:rFonts w:asciiTheme="minorHAnsi" w:hAnsiTheme="minorHAnsi" w:cstheme="minorHAnsi"/>
          <w:sz w:val="24"/>
          <w:szCs w:val="24"/>
        </w:rPr>
        <w:t xml:space="preserve">OSHA intends to post the collected data on a public website that </w:t>
      </w:r>
      <w:r>
        <w:rPr>
          <w:rFonts w:asciiTheme="minorHAnsi" w:hAnsiTheme="minorHAnsi" w:cstheme="minorHAnsi"/>
          <w:sz w:val="24"/>
          <w:szCs w:val="24"/>
        </w:rPr>
        <w:t xml:space="preserve">has a </w:t>
      </w:r>
      <w:r w:rsidRPr="006143FF">
        <w:rPr>
          <w:rFonts w:asciiTheme="minorHAnsi" w:hAnsiTheme="minorHAnsi" w:cstheme="minorHAnsi"/>
          <w:sz w:val="24"/>
          <w:szCs w:val="24"/>
        </w:rPr>
        <w:t>searchable</w:t>
      </w:r>
      <w:r>
        <w:rPr>
          <w:rFonts w:asciiTheme="minorHAnsi" w:hAnsiTheme="minorHAnsi" w:cstheme="minorHAnsi"/>
          <w:sz w:val="24"/>
          <w:szCs w:val="24"/>
        </w:rPr>
        <w:t xml:space="preserve"> online database.</w:t>
      </w:r>
    </w:p>
    <w:p w14:paraId="1FE11076" w14:textId="77777777" w:rsidR="00A27C84" w:rsidRPr="006143FF" w:rsidRDefault="00A27C84" w:rsidP="00A27C84">
      <w:pPr>
        <w:pStyle w:val="NormalWeb"/>
        <w:spacing w:before="0" w:beforeAutospacing="0" w:after="160" w:afterAutospacing="0"/>
        <w:ind w:left="720"/>
        <w:rPr>
          <w:rFonts w:asciiTheme="minorHAnsi" w:hAnsiTheme="minorHAnsi" w:cstheme="minorHAnsi"/>
          <w:i/>
          <w:iCs/>
          <w:sz w:val="24"/>
          <w:szCs w:val="24"/>
        </w:rPr>
      </w:pPr>
      <w:r w:rsidRPr="005C4B15">
        <w:rPr>
          <w:rFonts w:asciiTheme="minorHAnsi" w:hAnsiTheme="minorHAnsi" w:cstheme="minorHAnsi"/>
          <w:i/>
          <w:iCs/>
          <w:sz w:val="24"/>
          <w:szCs w:val="24"/>
          <w:u w:val="single"/>
        </w:rPr>
        <w:t>Current: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143FF">
        <w:rPr>
          <w:rFonts w:asciiTheme="minorHAnsi" w:hAnsiTheme="minorHAnsi" w:cstheme="minorHAnsi"/>
          <w:i/>
          <w:iCs/>
          <w:sz w:val="24"/>
          <w:szCs w:val="24"/>
        </w:rPr>
        <w:t xml:space="preserve">OSHA posts submitted data on its </w:t>
      </w:r>
      <w:hyperlink r:id="rId13" w:history="1">
        <w:r w:rsidRPr="006143FF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website</w:t>
        </w:r>
      </w:hyperlink>
      <w:r w:rsidRPr="006143FF">
        <w:rPr>
          <w:rFonts w:asciiTheme="minorHAnsi" w:hAnsiTheme="minorHAnsi" w:cstheme="minorHAnsi"/>
          <w:i/>
          <w:iCs/>
          <w:sz w:val="24"/>
          <w:szCs w:val="24"/>
        </w:rPr>
        <w:t xml:space="preserve"> but access to the information requires downloading a large csv </w:t>
      </w:r>
      <w:r>
        <w:rPr>
          <w:rFonts w:asciiTheme="minorHAnsi" w:hAnsiTheme="minorHAnsi" w:cstheme="minorHAnsi"/>
          <w:i/>
          <w:iCs/>
          <w:sz w:val="24"/>
          <w:szCs w:val="24"/>
        </w:rPr>
        <w:t>f</w:t>
      </w:r>
      <w:r w:rsidRPr="006143FF">
        <w:rPr>
          <w:rFonts w:asciiTheme="minorHAnsi" w:hAnsiTheme="minorHAnsi" w:cstheme="minorHAnsi"/>
          <w:i/>
          <w:iCs/>
          <w:sz w:val="24"/>
          <w:szCs w:val="24"/>
        </w:rPr>
        <w:t xml:space="preserve">ile with ALL submitted data for the year; it is not a searchable online database. </w:t>
      </w:r>
    </w:p>
    <w:p w14:paraId="184145D4" w14:textId="77777777" w:rsidR="00A27C84" w:rsidRDefault="00A27C84" w:rsidP="00A27C84">
      <w:pPr>
        <w:pStyle w:val="NormalWeb"/>
        <w:numPr>
          <w:ilvl w:val="0"/>
          <w:numId w:val="23"/>
        </w:numPr>
        <w:spacing w:before="0" w:beforeAutospacing="0" w:after="160" w:afterAutospacing="0"/>
        <w:rPr>
          <w:rFonts w:asciiTheme="minorHAnsi" w:hAnsiTheme="minorHAnsi" w:cstheme="minorHAnsi"/>
          <w:sz w:val="24"/>
          <w:szCs w:val="24"/>
        </w:rPr>
      </w:pPr>
      <w:r w:rsidRPr="00056918">
        <w:rPr>
          <w:rFonts w:asciiTheme="minorHAnsi" w:hAnsiTheme="minorHAnsi" w:cstheme="minorHAnsi"/>
          <w:sz w:val="24"/>
          <w:szCs w:val="24"/>
          <w:u w:val="single"/>
        </w:rPr>
        <w:t>Proposed:</w:t>
      </w:r>
      <w:r w:rsidRPr="00056918">
        <w:rPr>
          <w:rFonts w:asciiTheme="minorHAnsi" w:hAnsiTheme="minorHAnsi" w:cstheme="minorHAnsi"/>
          <w:sz w:val="24"/>
          <w:szCs w:val="24"/>
        </w:rPr>
        <w:t xml:space="preserve"> Establishments</w:t>
      </w:r>
      <w:r>
        <w:rPr>
          <w:rFonts w:asciiTheme="minorHAnsi" w:hAnsiTheme="minorHAnsi" w:cstheme="minorHAnsi"/>
          <w:sz w:val="24"/>
          <w:szCs w:val="24"/>
        </w:rPr>
        <w:t xml:space="preserve"> will be required to include their company name with submission.</w:t>
      </w:r>
    </w:p>
    <w:p w14:paraId="5450D890" w14:textId="09F7E9A7" w:rsidR="00A27C84" w:rsidRPr="00A27C84" w:rsidRDefault="00A27C84" w:rsidP="00A27C84">
      <w:pPr>
        <w:pStyle w:val="NormalWeb"/>
        <w:spacing w:before="0" w:beforeAutospacing="0" w:after="160" w:afterAutospacing="0"/>
        <w:ind w:left="720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  <w:u w:val="single"/>
        </w:rPr>
        <w:t>Current</w:t>
      </w:r>
      <w:r w:rsidRPr="00056918">
        <w:rPr>
          <w:rFonts w:asciiTheme="minorHAnsi" w:hAnsiTheme="minorHAnsi" w:cstheme="minorHAnsi"/>
          <w:i/>
          <w:iCs/>
          <w:sz w:val="24"/>
          <w:szCs w:val="24"/>
        </w:rPr>
        <w:t xml:space="preserve">: </w:t>
      </w:r>
      <w:r w:rsidRPr="006143FF">
        <w:rPr>
          <w:rFonts w:asciiTheme="minorHAnsi" w:hAnsiTheme="minorHAnsi" w:cstheme="minorHAnsi"/>
          <w:i/>
          <w:iCs/>
          <w:sz w:val="24"/>
          <w:szCs w:val="24"/>
        </w:rPr>
        <w:t xml:space="preserve">OSHA asks for “Company Name” and “Establishment Name;”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Establishment Name must be unique, and </w:t>
      </w:r>
      <w:r w:rsidRPr="006143FF">
        <w:rPr>
          <w:rFonts w:asciiTheme="minorHAnsi" w:hAnsiTheme="minorHAnsi" w:cstheme="minorHAnsi"/>
          <w:i/>
          <w:iCs/>
          <w:sz w:val="24"/>
          <w:szCs w:val="24"/>
        </w:rPr>
        <w:t>Company Name is not a required field.</w:t>
      </w:r>
    </w:p>
    <w:p w14:paraId="0037024D" w14:textId="207F724E" w:rsidR="00A27C84" w:rsidRPr="00A27C84" w:rsidRDefault="00A27C84" w:rsidP="00A27C84">
      <w:pPr>
        <w:spacing w:after="160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A27C84">
        <w:rPr>
          <w:rFonts w:asciiTheme="minorHAnsi" w:hAnsiTheme="minorHAnsi" w:cstheme="minorHAnsi"/>
          <w:b/>
          <w:bCs/>
          <w:color w:val="000000" w:themeColor="text1"/>
          <w:u w:val="single"/>
        </w:rPr>
        <w:t>Significant Information to Note</w:t>
      </w:r>
    </w:p>
    <w:p w14:paraId="07152D9E" w14:textId="73209791" w:rsidR="00A27C84" w:rsidRPr="00A27C84" w:rsidRDefault="00A27C84" w:rsidP="00A27C84">
      <w:pPr>
        <w:pStyle w:val="ListParagraph"/>
        <w:numPr>
          <w:ilvl w:val="0"/>
          <w:numId w:val="28"/>
        </w:numPr>
        <w:spacing w:after="160"/>
        <w:rPr>
          <w:rFonts w:asciiTheme="minorHAnsi" w:hAnsiTheme="minorHAnsi" w:cstheme="minorHAnsi"/>
          <w:b/>
          <w:bCs/>
          <w:i/>
          <w:iCs/>
        </w:rPr>
      </w:pPr>
      <w:r w:rsidRPr="00A27C84">
        <w:rPr>
          <w:rFonts w:asciiTheme="minorHAnsi" w:hAnsiTheme="minorHAnsi" w:cstheme="minorHAnsi"/>
        </w:rPr>
        <w:t>State Plan State recordkeeping requirements need to be “substantially identical” to Federal requirements. However, some provisions (e.g., industry exemptions) may be more stringent.</w:t>
      </w:r>
      <w:r w:rsidRPr="00A27C84">
        <w:rPr>
          <w:rFonts w:asciiTheme="minorHAnsi" w:hAnsiTheme="minorHAnsi" w:cstheme="minorHAnsi"/>
          <w:b/>
          <w:bCs/>
        </w:rPr>
        <w:t xml:space="preserve"> </w:t>
      </w:r>
    </w:p>
    <w:p w14:paraId="4F15817B" w14:textId="702A9624" w:rsidR="00A27C84" w:rsidRPr="00A27C84" w:rsidRDefault="00A27C84" w:rsidP="00A27C84">
      <w:pPr>
        <w:pStyle w:val="ListParagraph"/>
        <w:numPr>
          <w:ilvl w:val="1"/>
          <w:numId w:val="28"/>
        </w:numPr>
        <w:spacing w:after="160"/>
        <w:rPr>
          <w:rFonts w:asciiTheme="minorHAnsi" w:hAnsiTheme="minorHAnsi" w:cstheme="minorHAnsi"/>
          <w:b/>
          <w:bCs/>
          <w:i/>
          <w:iCs/>
        </w:rPr>
      </w:pPr>
      <w:r w:rsidRPr="00A27C84">
        <w:rPr>
          <w:rFonts w:asciiTheme="minorHAnsi" w:hAnsiTheme="minorHAnsi" w:cstheme="minorHAnsi"/>
        </w:rPr>
        <w:t>Once the Federal rule is promulgated,</w:t>
      </w:r>
      <w:r w:rsidRPr="00A27C84">
        <w:rPr>
          <w:rFonts w:asciiTheme="minorHAnsi" w:hAnsiTheme="minorHAnsi" w:cstheme="minorHAnsi"/>
          <w:b/>
          <w:bCs/>
        </w:rPr>
        <w:t xml:space="preserve"> State Plan States (e.g., California, Washington, Oregon) will be required to adopt the Federal recordkeeping requirements or make them more stringent (where allowed).</w:t>
      </w:r>
    </w:p>
    <w:p w14:paraId="28FC7FD3" w14:textId="0333EF41" w:rsidR="00A27C84" w:rsidRPr="00A27C84" w:rsidRDefault="00A27C84" w:rsidP="00A27C84">
      <w:pPr>
        <w:spacing w:after="160"/>
        <w:rPr>
          <w:rFonts w:asciiTheme="minorHAnsi" w:hAnsiTheme="minorHAnsi" w:cstheme="minorHAnsi"/>
          <w:b/>
          <w:bCs/>
          <w:i/>
          <w:iCs/>
        </w:rPr>
      </w:pPr>
      <w:r w:rsidRPr="00FF7CAD">
        <w:rPr>
          <w:rFonts w:asciiTheme="minorHAnsi" w:hAnsiTheme="minorHAnsi" w:cstheme="minorHAnsi"/>
          <w:u w:val="single"/>
        </w:rPr>
        <w:lastRenderedPageBreak/>
        <w:t>Information regarding the proposed Appendices</w:t>
      </w:r>
      <w:r w:rsidRPr="00A27C84">
        <w:rPr>
          <w:rFonts w:asciiTheme="minorHAnsi" w:hAnsiTheme="minorHAnsi" w:cstheme="minorHAnsi"/>
        </w:rPr>
        <w:t xml:space="preserve">: </w:t>
      </w:r>
    </w:p>
    <w:p w14:paraId="79C07CEB" w14:textId="36F7E496" w:rsidR="00A27C84" w:rsidRPr="006143FF" w:rsidRDefault="00A27C84" w:rsidP="00A27C84">
      <w:pPr>
        <w:numPr>
          <w:ilvl w:val="0"/>
          <w:numId w:val="25"/>
        </w:numPr>
        <w:shd w:val="clear" w:color="auto" w:fill="FFFFFF"/>
        <w:spacing w:before="100" w:beforeAutospacing="1" w:after="160"/>
        <w:rPr>
          <w:rFonts w:asciiTheme="minorHAnsi" w:hAnsiTheme="minorHAnsi" w:cstheme="minorHAnsi"/>
          <w:color w:val="000000" w:themeColor="text1"/>
        </w:rPr>
      </w:pPr>
      <w:r w:rsidRPr="006143FF">
        <w:rPr>
          <w:rFonts w:asciiTheme="minorHAnsi" w:hAnsiTheme="minorHAnsi" w:cstheme="minorHAnsi"/>
          <w:color w:val="000000" w:themeColor="text1"/>
        </w:rPr>
        <w:t xml:space="preserve">All </w:t>
      </w:r>
      <w:r>
        <w:rPr>
          <w:rFonts w:asciiTheme="minorHAnsi" w:hAnsiTheme="minorHAnsi" w:cstheme="minorHAnsi"/>
          <w:color w:val="000000" w:themeColor="text1"/>
        </w:rPr>
        <w:t xml:space="preserve">of </w:t>
      </w:r>
      <w:r w:rsidRPr="006143FF">
        <w:rPr>
          <w:rFonts w:asciiTheme="minorHAnsi" w:hAnsiTheme="minorHAnsi" w:cstheme="minorHAnsi"/>
          <w:color w:val="000000" w:themeColor="text1"/>
        </w:rPr>
        <w:t xml:space="preserve">the industries in </w:t>
      </w:r>
      <w:r>
        <w:rPr>
          <w:rFonts w:asciiTheme="minorHAnsi" w:hAnsiTheme="minorHAnsi" w:cstheme="minorHAnsi"/>
          <w:color w:val="000000" w:themeColor="text1"/>
        </w:rPr>
        <w:t xml:space="preserve">proposed </w:t>
      </w:r>
      <w:r w:rsidRPr="006143FF">
        <w:rPr>
          <w:rFonts w:asciiTheme="minorHAnsi" w:hAnsiTheme="minorHAnsi" w:cstheme="minorHAnsi"/>
          <w:color w:val="000000" w:themeColor="text1"/>
        </w:rPr>
        <w:t xml:space="preserve">Appendix B are included in </w:t>
      </w:r>
      <w:r>
        <w:rPr>
          <w:rFonts w:asciiTheme="minorHAnsi" w:hAnsiTheme="minorHAnsi" w:cstheme="minorHAnsi"/>
          <w:color w:val="000000" w:themeColor="text1"/>
        </w:rPr>
        <w:t xml:space="preserve">proposed </w:t>
      </w:r>
      <w:r w:rsidRPr="006143FF">
        <w:rPr>
          <w:rFonts w:asciiTheme="minorHAnsi" w:hAnsiTheme="minorHAnsi" w:cstheme="minorHAnsi"/>
          <w:color w:val="000000" w:themeColor="text1"/>
        </w:rPr>
        <w:t>Appendix A; Appendix B includes subsets of industries in Appendix A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68853735" w14:textId="77777777" w:rsidR="00A27C84" w:rsidRPr="006143FF" w:rsidRDefault="00A27C84" w:rsidP="00A27C84">
      <w:pPr>
        <w:numPr>
          <w:ilvl w:val="0"/>
          <w:numId w:val="25"/>
        </w:numPr>
        <w:shd w:val="clear" w:color="auto" w:fill="FFFFFF"/>
        <w:spacing w:before="100" w:beforeAutospacing="1" w:after="160"/>
        <w:rPr>
          <w:rFonts w:asciiTheme="minorHAnsi" w:hAnsiTheme="minorHAnsi" w:cstheme="minorHAnsi"/>
          <w:color w:val="000000" w:themeColor="text1"/>
        </w:rPr>
      </w:pPr>
      <w:r w:rsidRPr="006143FF">
        <w:rPr>
          <w:rFonts w:asciiTheme="minorHAnsi" w:hAnsiTheme="minorHAnsi" w:cstheme="minorHAnsi"/>
          <w:color w:val="000000" w:themeColor="text1"/>
        </w:rPr>
        <w:t>Industries in Appendix A were determined by OSHA using the rate of cases with days away from work, job restriction, or transfer (DART) from the BLS Survey of Occupational Injuries and Illnesses (SOII)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59A3E590" w14:textId="77777777" w:rsidR="00A27C84" w:rsidRPr="006143FF" w:rsidRDefault="00A27C84" w:rsidP="00A27C84">
      <w:pPr>
        <w:numPr>
          <w:ilvl w:val="0"/>
          <w:numId w:val="25"/>
        </w:numPr>
        <w:shd w:val="clear" w:color="auto" w:fill="FFFFFF"/>
        <w:spacing w:before="100" w:beforeAutospacing="1" w:after="160"/>
        <w:rPr>
          <w:rFonts w:asciiTheme="minorHAnsi" w:hAnsiTheme="minorHAnsi" w:cstheme="minorHAnsi"/>
          <w:color w:val="000000" w:themeColor="text1"/>
        </w:rPr>
      </w:pPr>
      <w:r w:rsidRPr="006143FF">
        <w:rPr>
          <w:rFonts w:asciiTheme="minorHAnsi" w:hAnsiTheme="minorHAnsi" w:cstheme="minorHAnsi"/>
          <w:color w:val="000000" w:themeColor="text1"/>
        </w:rPr>
        <w:t>Industries in Appendix B were determined by the Total Case Rate (TCR)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7FAAA212" w14:textId="77777777" w:rsidR="00A27C84" w:rsidRPr="006143FF" w:rsidRDefault="00A27C84" w:rsidP="00A27C84">
      <w:pPr>
        <w:numPr>
          <w:ilvl w:val="1"/>
          <w:numId w:val="25"/>
        </w:numPr>
        <w:shd w:val="clear" w:color="auto" w:fill="FFFFFF"/>
        <w:spacing w:before="100" w:beforeAutospacing="1" w:after="160"/>
        <w:rPr>
          <w:rFonts w:asciiTheme="minorHAnsi" w:hAnsiTheme="minorHAnsi" w:cstheme="minorHAnsi"/>
          <w:color w:val="000000" w:themeColor="text1"/>
        </w:rPr>
      </w:pPr>
      <w:r w:rsidRPr="006143FF">
        <w:rPr>
          <w:rFonts w:asciiTheme="minorHAnsi" w:hAnsiTheme="minorHAnsi" w:cstheme="minorHAnsi"/>
          <w:color w:val="000000" w:themeColor="text1"/>
        </w:rPr>
        <w:t>TCR includes cases away from work, job restriction, or transfer AND other recordable cases such as those resulting in medical treatment beyond first aid</w:t>
      </w:r>
      <w:r>
        <w:rPr>
          <w:rFonts w:asciiTheme="minorHAnsi" w:hAnsiTheme="minorHAnsi" w:cstheme="minorHAnsi"/>
          <w:color w:val="000000" w:themeColor="text1"/>
        </w:rPr>
        <w:t>.</w:t>
      </w:r>
      <w:r w:rsidRPr="006143FF">
        <w:rPr>
          <w:rFonts w:asciiTheme="minorHAnsi" w:hAnsiTheme="minorHAnsi" w:cstheme="minorHAnsi"/>
          <w:color w:val="000000" w:themeColor="text1"/>
        </w:rPr>
        <w:t> </w:t>
      </w:r>
    </w:p>
    <w:p w14:paraId="501887CC" w14:textId="77777777" w:rsidR="00A27C84" w:rsidRDefault="00A27C84" w:rsidP="00A27C84">
      <w:pPr>
        <w:numPr>
          <w:ilvl w:val="1"/>
          <w:numId w:val="25"/>
        </w:numPr>
        <w:shd w:val="clear" w:color="auto" w:fill="FFFFFF"/>
        <w:spacing w:before="100" w:beforeAutospacing="1" w:after="160"/>
        <w:rPr>
          <w:rFonts w:asciiTheme="minorHAnsi" w:hAnsiTheme="minorHAnsi" w:cstheme="minorHAnsi"/>
          <w:color w:val="000000" w:themeColor="text1"/>
        </w:rPr>
      </w:pPr>
      <w:r w:rsidRPr="006143FF">
        <w:rPr>
          <w:rFonts w:asciiTheme="minorHAnsi" w:hAnsiTheme="minorHAnsi" w:cstheme="minorHAnsi"/>
          <w:color w:val="000000" w:themeColor="text1"/>
        </w:rPr>
        <w:t>OSHA took a 3-year average of TCR in the BLS SOII for 2017, 2018, and 2019, of at least 3.5 cases per 100 full-time equivalent employees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581E6F4E" w14:textId="77777777" w:rsidR="00A27C84" w:rsidRPr="00056918" w:rsidRDefault="00A27C84" w:rsidP="00A27C84">
      <w:pPr>
        <w:numPr>
          <w:ilvl w:val="0"/>
          <w:numId w:val="25"/>
        </w:numPr>
        <w:shd w:val="clear" w:color="auto" w:fill="FFFFFF"/>
        <w:spacing w:before="100" w:beforeAutospacing="1" w:after="1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OSHA analyzed five years of injury and illness summary data collected through OSHA’s Injury Tracking Application (ITA) when identifying “the appropriate balance of utility versus burden” in this rulemaking.</w:t>
      </w:r>
    </w:p>
    <w:p w14:paraId="0955E957" w14:textId="4224553E" w:rsidR="006143FF" w:rsidRPr="006143FF" w:rsidRDefault="006143FF" w:rsidP="006143FF">
      <w:pPr>
        <w:shd w:val="clear" w:color="auto" w:fill="FFFFFF"/>
        <w:spacing w:before="100" w:beforeAutospacing="1" w:after="160"/>
        <w:rPr>
          <w:rFonts w:asciiTheme="minorHAnsi" w:hAnsiTheme="minorHAnsi" w:cstheme="minorHAnsi"/>
          <w:b/>
          <w:bCs/>
          <w:u w:val="single"/>
        </w:rPr>
      </w:pPr>
      <w:r w:rsidRPr="006143FF">
        <w:rPr>
          <w:rFonts w:asciiTheme="minorHAnsi" w:hAnsiTheme="minorHAnsi" w:cstheme="minorHAnsi"/>
          <w:b/>
          <w:bCs/>
          <w:u w:val="single"/>
        </w:rPr>
        <w:t>Next Steps</w:t>
      </w:r>
    </w:p>
    <w:p w14:paraId="41545611" w14:textId="7AB9D11F" w:rsidR="00F54407" w:rsidRPr="00056918" w:rsidRDefault="00056918" w:rsidP="00056918">
      <w:pPr>
        <w:shd w:val="clear" w:color="auto" w:fill="FFFFFF"/>
        <w:spacing w:before="100" w:beforeAutospacing="1" w:after="160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We will schedule a </w:t>
      </w:r>
      <w:r w:rsidRPr="005642C3">
        <w:rPr>
          <w:rFonts w:asciiTheme="minorHAnsi" w:hAnsiTheme="minorHAnsi" w:cstheme="minorHAnsi"/>
          <w:b/>
          <w:bCs/>
          <w:color w:val="000000" w:themeColor="text1"/>
        </w:rPr>
        <w:t>Recordkeeping Task Force</w:t>
      </w:r>
      <w:r>
        <w:rPr>
          <w:rFonts w:asciiTheme="minorHAnsi" w:hAnsiTheme="minorHAnsi" w:cstheme="minorHAnsi"/>
          <w:color w:val="000000" w:themeColor="text1"/>
        </w:rPr>
        <w:t xml:space="preserve"> meeting next month to discuss our </w:t>
      </w:r>
      <w:r>
        <w:rPr>
          <w:rFonts w:asciiTheme="minorHAnsi" w:hAnsiTheme="minorHAnsi" w:cstheme="minorHAnsi"/>
          <w:color w:val="000000" w:themeColor="text1"/>
        </w:rPr>
        <w:t xml:space="preserve">recommendations and </w:t>
      </w:r>
      <w:r>
        <w:rPr>
          <w:rFonts w:asciiTheme="minorHAnsi" w:hAnsiTheme="minorHAnsi" w:cstheme="minorHAnsi"/>
          <w:color w:val="000000" w:themeColor="text1"/>
        </w:rPr>
        <w:t>comments</w:t>
      </w:r>
      <w:r>
        <w:rPr>
          <w:rFonts w:asciiTheme="minorHAnsi" w:hAnsiTheme="minorHAnsi" w:cstheme="minorHAnsi"/>
          <w:color w:val="000000" w:themeColor="text1"/>
        </w:rPr>
        <w:t xml:space="preserve"> to FedOSHA</w:t>
      </w:r>
      <w:r>
        <w:rPr>
          <w:rFonts w:asciiTheme="minorHAnsi" w:hAnsiTheme="minorHAnsi" w:cstheme="minorHAnsi"/>
          <w:color w:val="000000" w:themeColor="text1"/>
        </w:rPr>
        <w:t xml:space="preserve">. </w:t>
      </w:r>
      <w:r w:rsidRPr="005642C3">
        <w:rPr>
          <w:rFonts w:asciiTheme="minorHAnsi" w:hAnsiTheme="minorHAnsi" w:cstheme="minorHAnsi"/>
          <w:b/>
          <w:bCs/>
          <w:color w:val="000000" w:themeColor="text1"/>
        </w:rPr>
        <w:t>Please contact Helen Cleary ASAP if you or a member of your team familiar with the recordkeeping process would like to participate.</w:t>
      </w:r>
      <w:r w:rsidR="00D25B04">
        <w:rPr>
          <w:rFonts w:asciiTheme="minorHAnsi" w:hAnsiTheme="minorHAnsi" w:cstheme="minorHAnsi"/>
        </w:rPr>
        <w:t xml:space="preserve"> </w:t>
      </w:r>
    </w:p>
    <w:sectPr w:rsidR="00F54407" w:rsidRPr="00056918" w:rsidSect="003B3747">
      <w:headerReference w:type="default" r:id="rId14"/>
      <w:footerReference w:type="even" r:id="rId15"/>
      <w:footerReference w:type="default" r:id="rId16"/>
      <w:pgSz w:w="12240" w:h="15840"/>
      <w:pgMar w:top="981" w:right="1440" w:bottom="1890" w:left="1440" w:header="497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A3641" w14:textId="77777777" w:rsidR="009D2250" w:rsidRDefault="009D2250" w:rsidP="00DB6B2B">
      <w:r>
        <w:separator/>
      </w:r>
    </w:p>
  </w:endnote>
  <w:endnote w:type="continuationSeparator" w:id="0">
    <w:p w14:paraId="2B4B349D" w14:textId="77777777" w:rsidR="009D2250" w:rsidRDefault="009D2250" w:rsidP="00DB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LIGHT OBLIQUE">
    <w:altName w:val="Century Gothic"/>
    <w:panose1 w:val="020B0402020203090204"/>
    <w:charset w:val="4D"/>
    <w:family w:val="swiss"/>
    <w:pitch w:val="variable"/>
    <w:sig w:usb0="800000AF" w:usb1="5000204A" w:usb2="00000000" w:usb3="00000000" w:csb0="0000009B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Light">
    <w:altName w:val="Century Gothic"/>
    <w:panose1 w:val="020B0402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120351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3A2085" w14:textId="19869A7B" w:rsidR="005F0987" w:rsidRDefault="005F0987" w:rsidP="007822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712314" w14:textId="77777777" w:rsidR="005F0987" w:rsidRDefault="005F0987" w:rsidP="00A26E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9A92" w14:textId="2565406A" w:rsidR="005F0987" w:rsidRDefault="005F0987" w:rsidP="00B64310">
    <w:pPr>
      <w:pStyle w:val="Footer"/>
      <w:ind w:right="360"/>
      <w:jc w:val="both"/>
      <w:rPr>
        <w:rFonts w:ascii="Avenir Light" w:hAnsi="Avenir Light"/>
        <w:sz w:val="18"/>
        <w:szCs w:val="18"/>
      </w:rPr>
    </w:pPr>
    <w:r>
      <w:rPr>
        <w:rFonts w:ascii="Avenir Light" w:hAnsi="Avenir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65121C" wp14:editId="021CC95A">
              <wp:simplePos x="0" y="0"/>
              <wp:positionH relativeFrom="column">
                <wp:posOffset>-276225</wp:posOffset>
              </wp:positionH>
              <wp:positionV relativeFrom="paragraph">
                <wp:posOffset>-22225</wp:posOffset>
              </wp:positionV>
              <wp:extent cx="6553200" cy="635"/>
              <wp:effectExtent l="9525" t="7620" r="952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732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1.75pt;margin-top:-1.75pt;width:51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" strokecolor="#bfbfbf [2412]"/>
          </w:pict>
        </mc:Fallback>
      </mc:AlternateContent>
    </w:r>
    <w:r>
      <w:rPr>
        <w:rFonts w:ascii="Avenir Light" w:hAnsi="Avenir Light"/>
        <w:sz w:val="18"/>
        <w:szCs w:val="18"/>
      </w:rPr>
      <w:t xml:space="preserve"> </w:t>
    </w:r>
  </w:p>
  <w:tbl>
    <w:tblPr>
      <w:tblStyle w:val="TableGrid"/>
      <w:tblW w:w="10530" w:type="dxa"/>
      <w:tblInd w:w="-4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0"/>
      <w:gridCol w:w="5310"/>
    </w:tblGrid>
    <w:tr w:rsidR="005F0987" w14:paraId="7284C5D9" w14:textId="77777777" w:rsidTr="003B3747">
      <w:tc>
        <w:tcPr>
          <w:tcW w:w="5220" w:type="dxa"/>
        </w:tcPr>
        <w:p w14:paraId="2C4E6A57" w14:textId="723954F5" w:rsidR="005F0987" w:rsidRPr="00544A7A" w:rsidRDefault="005F0987" w:rsidP="00B64310">
          <w:pPr>
            <w:pStyle w:val="Footer"/>
            <w:ind w:right="360"/>
            <w:jc w:val="both"/>
            <w:rPr>
              <w:rStyle w:val="Hyperlink"/>
              <w:rFonts w:asciiTheme="minorHAnsi" w:hAnsiTheme="minorHAnsi" w:cstheme="minorHAnsi"/>
              <w:color w:val="auto"/>
              <w:sz w:val="18"/>
              <w:szCs w:val="18"/>
              <w:u w:val="none"/>
            </w:rPr>
          </w:pPr>
          <w:r w:rsidRPr="00544A7A">
            <w:rPr>
              <w:rStyle w:val="Hyperlink"/>
              <w:rFonts w:asciiTheme="minorHAnsi" w:hAnsiTheme="minorHAnsi" w:cstheme="minorHAnsi"/>
              <w:color w:val="auto"/>
              <w:sz w:val="18"/>
              <w:szCs w:val="18"/>
              <w:u w:val="none"/>
            </w:rPr>
            <w:t>www.phylmar.com/regulatory-roundtable/</w:t>
          </w:r>
        </w:p>
        <w:p w14:paraId="127CDE74" w14:textId="77777777" w:rsidR="005F0987" w:rsidRPr="00544A7A" w:rsidRDefault="005F0987" w:rsidP="00B64310">
          <w:pPr>
            <w:pStyle w:val="Footer"/>
            <w:ind w:right="360"/>
            <w:jc w:val="both"/>
            <w:rPr>
              <w:rFonts w:asciiTheme="minorHAnsi" w:hAnsiTheme="minorHAnsi" w:cstheme="minorHAnsi"/>
              <w:sz w:val="18"/>
              <w:szCs w:val="18"/>
            </w:rPr>
          </w:pPr>
          <w:r w:rsidRPr="00544A7A">
            <w:rPr>
              <w:rFonts w:asciiTheme="minorHAnsi" w:hAnsiTheme="minorHAnsi" w:cstheme="minorHAnsi"/>
              <w:sz w:val="18"/>
              <w:szCs w:val="18"/>
            </w:rPr>
            <w:t>5421 Kietzke Lane, Suite 100</w:t>
          </w:r>
        </w:p>
        <w:p w14:paraId="77524D09" w14:textId="0E3B42C3" w:rsidR="005F0987" w:rsidRPr="003B3747" w:rsidRDefault="005F0987" w:rsidP="00B64310">
          <w:pPr>
            <w:pStyle w:val="Footer"/>
            <w:ind w:right="360"/>
            <w:jc w:val="both"/>
            <w:rPr>
              <w:rFonts w:ascii="Avenir Light" w:hAnsi="Avenir Light"/>
              <w:color w:val="BFBFBF" w:themeColor="background1" w:themeShade="BF"/>
              <w:sz w:val="18"/>
              <w:szCs w:val="18"/>
            </w:rPr>
          </w:pPr>
          <w:r w:rsidRPr="00544A7A">
            <w:rPr>
              <w:rFonts w:asciiTheme="minorHAnsi" w:hAnsiTheme="minorHAnsi" w:cstheme="minorHAnsi"/>
              <w:sz w:val="18"/>
              <w:szCs w:val="18"/>
            </w:rPr>
            <w:t>Reno, NV  89511</w:t>
          </w:r>
        </w:p>
      </w:tc>
      <w:tc>
        <w:tcPr>
          <w:tcW w:w="5310" w:type="dxa"/>
        </w:tcPr>
        <w:p w14:paraId="53EF044F" w14:textId="738E2F9C" w:rsidR="005F0987" w:rsidRPr="00544A7A" w:rsidRDefault="005F0987" w:rsidP="00544A7A">
          <w:pPr>
            <w:pStyle w:val="Footer"/>
            <w:tabs>
              <w:tab w:val="clear" w:pos="4680"/>
              <w:tab w:val="clear" w:pos="9360"/>
              <w:tab w:val="left" w:pos="7215"/>
            </w:tabs>
            <w:ind w:right="-15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544A7A">
            <w:rPr>
              <w:rFonts w:asciiTheme="minorHAnsi" w:hAnsiTheme="minorHAnsi" w:cstheme="minorHAnsi"/>
              <w:sz w:val="18"/>
              <w:szCs w:val="18"/>
            </w:rPr>
            <w:t xml:space="preserve">                                                                                      Helen Cleary, Director</w:t>
          </w:r>
        </w:p>
        <w:p w14:paraId="0493CAA6" w14:textId="77777777" w:rsidR="005F0987" w:rsidRPr="00544A7A" w:rsidRDefault="009D2250" w:rsidP="00544A7A">
          <w:pPr>
            <w:pStyle w:val="Footer"/>
            <w:ind w:right="-15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hyperlink r:id="rId1" w:history="1">
            <w:r w:rsidR="005F0987" w:rsidRPr="00544A7A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hcleary@phylmar.com</w:t>
            </w:r>
          </w:hyperlink>
          <w:r w:rsidR="005F0987" w:rsidRPr="00544A7A"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</w:p>
        <w:p w14:paraId="2B623B2C" w14:textId="13C59FD3" w:rsidR="005F0987" w:rsidRPr="003B3747" w:rsidRDefault="005F0987" w:rsidP="00544A7A">
          <w:pPr>
            <w:pStyle w:val="Footer"/>
            <w:ind w:right="-15"/>
            <w:jc w:val="right"/>
            <w:rPr>
              <w:rFonts w:asciiTheme="minorHAnsi" w:hAnsiTheme="minorHAnsi" w:cstheme="minorHAnsi"/>
              <w:color w:val="BFBFBF" w:themeColor="background1" w:themeShade="BF"/>
              <w:sz w:val="18"/>
              <w:szCs w:val="18"/>
            </w:rPr>
          </w:pPr>
          <w:r w:rsidRPr="00544A7A">
            <w:rPr>
              <w:rFonts w:asciiTheme="minorHAnsi" w:hAnsiTheme="minorHAnsi" w:cstheme="minorHAnsi"/>
              <w:sz w:val="18"/>
              <w:szCs w:val="18"/>
            </w:rPr>
            <w:t>916 – 275 – 8207</w:t>
          </w:r>
        </w:p>
      </w:tc>
    </w:tr>
  </w:tbl>
  <w:sdt>
    <w:sdtPr>
      <w:rPr>
        <w:rStyle w:val="PageNumber"/>
        <w:rFonts w:asciiTheme="minorHAnsi" w:hAnsiTheme="minorHAnsi" w:cstheme="minorHAnsi"/>
        <w:color w:val="BFBFBF" w:themeColor="background1" w:themeShade="BF"/>
        <w:sz w:val="22"/>
        <w:szCs w:val="22"/>
      </w:rPr>
      <w:id w:val="881369113"/>
      <w:docPartObj>
        <w:docPartGallery w:val="Page Numbers (Bottom of Page)"/>
        <w:docPartUnique/>
      </w:docPartObj>
    </w:sdtPr>
    <w:sdtEndPr>
      <w:rPr>
        <w:rStyle w:val="PageNumber"/>
        <w:color w:val="auto"/>
      </w:rPr>
    </w:sdtEndPr>
    <w:sdtContent>
      <w:p w14:paraId="22ACC4CD" w14:textId="77777777" w:rsidR="005F0987" w:rsidRPr="0049340C" w:rsidRDefault="005F0987" w:rsidP="00544A7A">
        <w:pPr>
          <w:pStyle w:val="Footer"/>
          <w:framePr w:wrap="none" w:vAnchor="text" w:hAnchor="page" w:x="5731" w:y="186"/>
          <w:jc w:val="center"/>
          <w:rPr>
            <w:rStyle w:val="PageNumber"/>
            <w:rFonts w:asciiTheme="minorHAnsi" w:hAnsiTheme="minorHAnsi" w:cstheme="minorHAnsi"/>
            <w:sz w:val="22"/>
            <w:szCs w:val="22"/>
          </w:rPr>
        </w:pPr>
        <w:r w:rsidRPr="0049340C">
          <w:rPr>
            <w:rStyle w:val="PageNumber"/>
            <w:rFonts w:asciiTheme="minorHAnsi" w:hAnsiTheme="minorHAnsi" w:cstheme="minorHAnsi"/>
            <w:sz w:val="22"/>
            <w:szCs w:val="22"/>
          </w:rPr>
          <w:t xml:space="preserve">Page </w:t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instrText xml:space="preserve"> PAGE  \* Arabic  \* MERGEFORMAT </w:instrText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49340C">
          <w:rPr>
            <w:rStyle w:val="PageNumber"/>
            <w:rFonts w:asciiTheme="minorHAnsi" w:hAnsiTheme="minorHAnsi" w:cstheme="minorHAnsi"/>
            <w:b/>
            <w:bCs/>
            <w:noProof/>
            <w:sz w:val="22"/>
            <w:szCs w:val="22"/>
          </w:rPr>
          <w:t>1</w:t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Pr="0049340C">
          <w:rPr>
            <w:rStyle w:val="PageNumber"/>
            <w:rFonts w:asciiTheme="minorHAnsi" w:hAnsiTheme="minorHAnsi" w:cstheme="minorHAnsi"/>
            <w:sz w:val="22"/>
            <w:szCs w:val="22"/>
          </w:rPr>
          <w:t xml:space="preserve"> of </w:t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instrText xml:space="preserve"> NUMPAGES  \* Arabic  \* MERGEFORMAT </w:instrText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49340C">
          <w:rPr>
            <w:rStyle w:val="PageNumber"/>
            <w:rFonts w:asciiTheme="minorHAnsi" w:hAnsiTheme="minorHAnsi" w:cstheme="minorHAnsi"/>
            <w:b/>
            <w:bCs/>
            <w:noProof/>
            <w:sz w:val="22"/>
            <w:szCs w:val="22"/>
          </w:rPr>
          <w:t>2</w:t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</w:p>
    </w:sdtContent>
  </w:sdt>
  <w:p w14:paraId="24F40ED8" w14:textId="77777777" w:rsidR="005F0987" w:rsidRPr="003B3747" w:rsidRDefault="005F0987" w:rsidP="00B64310">
    <w:pPr>
      <w:pStyle w:val="Footer"/>
      <w:ind w:right="360"/>
      <w:jc w:val="both"/>
      <w:rPr>
        <w:rFonts w:asciiTheme="minorHAnsi" w:hAnsiTheme="minorHAnsi" w:cstheme="minorHAnsi"/>
        <w:sz w:val="22"/>
        <w:szCs w:val="22"/>
      </w:rPr>
    </w:pPr>
  </w:p>
  <w:p w14:paraId="1513657F" w14:textId="46DFD3AE" w:rsidR="005F0987" w:rsidRDefault="005F0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1788" w14:textId="77777777" w:rsidR="009D2250" w:rsidRDefault="009D2250" w:rsidP="00DB6B2B">
      <w:r>
        <w:separator/>
      </w:r>
    </w:p>
  </w:footnote>
  <w:footnote w:type="continuationSeparator" w:id="0">
    <w:p w14:paraId="5D57B970" w14:textId="77777777" w:rsidR="009D2250" w:rsidRDefault="009D2250" w:rsidP="00DB6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B68F" w14:textId="0BBD7345" w:rsidR="005F0987" w:rsidRDefault="005F0987" w:rsidP="00AB091C">
    <w:pPr>
      <w:pStyle w:val="Header"/>
      <w:snapToGrid w:val="0"/>
      <w:rPr>
        <w:rFonts w:ascii="AVENIR LIGHT OBLIQUE" w:hAnsi="AVENIR LIGHT OBLIQUE"/>
        <w:b/>
        <w:bCs/>
        <w:i/>
        <w:iCs/>
        <w:sz w:val="18"/>
        <w:szCs w:val="18"/>
      </w:rPr>
    </w:pPr>
    <w:r>
      <w:rPr>
        <w:rFonts w:ascii="AVENIR LIGHT OBLIQUE" w:hAnsi="AVENIR LIGHT OBLIQUE"/>
        <w:b/>
        <w:bCs/>
        <w:i/>
        <w:iCs/>
        <w:sz w:val="18"/>
        <w:szCs w:val="18"/>
      </w:rPr>
      <w:tab/>
    </w:r>
  </w:p>
  <w:tbl>
    <w:tblPr>
      <w:tblStyle w:val="TableGrid"/>
      <w:tblW w:w="10620" w:type="dxa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0"/>
      <w:gridCol w:w="5580"/>
    </w:tblGrid>
    <w:tr w:rsidR="005F0987" w14:paraId="14D97A3B" w14:textId="77777777" w:rsidTr="00AB091C">
      <w:tc>
        <w:tcPr>
          <w:tcW w:w="5040" w:type="dxa"/>
        </w:tcPr>
        <w:p w14:paraId="2FF14037" w14:textId="7DFBDDC1" w:rsidR="005F0987" w:rsidRDefault="005F0987" w:rsidP="00AB091C">
          <w:pPr>
            <w:pStyle w:val="Header"/>
            <w:snapToGrid w:val="0"/>
            <w:rPr>
              <w:rFonts w:ascii="AVENIR LIGHT OBLIQUE" w:hAnsi="AVENIR LIGHT OBLIQUE"/>
              <w:b/>
              <w:bCs/>
              <w:i/>
              <w:iCs/>
              <w:sz w:val="18"/>
              <w:szCs w:val="18"/>
            </w:rPr>
          </w:pPr>
          <w:r w:rsidRPr="00810E67">
            <w:rPr>
              <w:rFonts w:ascii="Viner Hand ITC" w:eastAsia="Arial Unicode MS" w:hAnsi="Viner Hand ITC" w:cs="Viner Hand ITC"/>
              <w:b/>
              <w:bCs/>
              <w:noProof/>
              <w:kern w:val="1"/>
              <w:sz w:val="25"/>
              <w:szCs w:val="25"/>
              <w:shd w:val="clear" w:color="auto" w:fill="FFFFFF"/>
            </w:rPr>
            <w:drawing>
              <wp:inline distT="0" distB="0" distL="0" distR="0" wp14:anchorId="42771E17" wp14:editId="6ECA1E43">
                <wp:extent cx="1985749" cy="524690"/>
                <wp:effectExtent l="0" t="0" r="0" b="0"/>
                <wp:docPr id="2" name="Picture 2" descr="Graphical user interface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Graphical user interface, applicati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5749" cy="52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47978C76" w14:textId="29DD25F1" w:rsidR="005F0987" w:rsidRPr="003B3747" w:rsidRDefault="005F0987" w:rsidP="00AB091C">
          <w:pPr>
            <w:pStyle w:val="Header"/>
            <w:snapToGrid w:val="0"/>
            <w:jc w:val="right"/>
            <w:rPr>
              <w:rFonts w:ascii="AVENIR LIGHT OBLIQUE" w:hAnsi="AVENIR LIGHT OBLIQUE"/>
              <w:sz w:val="18"/>
              <w:szCs w:val="18"/>
            </w:rPr>
          </w:pPr>
          <w:r w:rsidRPr="003B3747">
            <w:rPr>
              <w:rFonts w:ascii="AVENIR LIGHT OBLIQUE" w:hAnsi="AVENIR LIGHT OBLIQUE"/>
              <w:sz w:val="18"/>
              <w:szCs w:val="18"/>
            </w:rPr>
            <w:t xml:space="preserve">                                    </w:t>
          </w:r>
          <w:r>
            <w:rPr>
              <w:rFonts w:ascii="AVENIR LIGHT OBLIQUE" w:hAnsi="AVENIR LIGHT OBLIQUE"/>
              <w:sz w:val="18"/>
              <w:szCs w:val="18"/>
            </w:rPr>
            <w:t xml:space="preserve"> </w:t>
          </w:r>
          <w:r w:rsidRPr="003B3747">
            <w:rPr>
              <w:rFonts w:ascii="AVENIR LIGHT OBLIQUE" w:hAnsi="AVENIR LIGHT OBLIQUE"/>
              <w:sz w:val="18"/>
              <w:szCs w:val="18"/>
            </w:rPr>
            <w:t xml:space="preserve">Phylmar Regulatory Roundtable, OSH Forum </w:t>
          </w:r>
          <w:r w:rsidRPr="003B3747">
            <w:rPr>
              <w:rFonts w:ascii="AVENIR LIGHT OBLIQUE" w:hAnsi="AVENIR LIGHT OBLIQUE"/>
              <w:sz w:val="18"/>
              <w:szCs w:val="18"/>
            </w:rPr>
            <w:tab/>
            <w:t xml:space="preserve"> </w:t>
          </w:r>
        </w:p>
        <w:p w14:paraId="55395E0A" w14:textId="0B6632CE" w:rsidR="005F0987" w:rsidRPr="00AB091C" w:rsidRDefault="005F0987" w:rsidP="00AB091C">
          <w:pPr>
            <w:pStyle w:val="Header"/>
            <w:snapToGrid w:val="0"/>
            <w:spacing w:after="160"/>
            <w:jc w:val="right"/>
            <w:rPr>
              <w:rFonts w:ascii="AVENIR LIGHT OBLIQUE" w:hAnsi="AVENIR LIGHT OBLIQUE"/>
              <w:i/>
              <w:iCs/>
              <w:sz w:val="18"/>
              <w:szCs w:val="18"/>
            </w:rPr>
          </w:pPr>
          <w:r w:rsidRPr="00B64310">
            <w:rPr>
              <w:rFonts w:ascii="AVENIR LIGHT OBLIQUE" w:hAnsi="AVENIR LIGHT OBLIQUE"/>
              <w:i/>
              <w:iCs/>
              <w:sz w:val="18"/>
              <w:szCs w:val="18"/>
            </w:rPr>
            <w:t>“Advancing Safety Excellence”</w:t>
          </w:r>
        </w:p>
      </w:tc>
    </w:tr>
  </w:tbl>
  <w:p w14:paraId="3BE70329" w14:textId="01092F1A" w:rsidR="005F0987" w:rsidRDefault="005F0987" w:rsidP="00AB091C">
    <w:pPr>
      <w:pStyle w:val="Header"/>
      <w:snapToGrid w:val="0"/>
      <w:rPr>
        <w:rFonts w:ascii="AVENIR LIGHT OBLIQUE" w:hAnsi="AVENIR LIGHT OBLIQUE"/>
        <w:b/>
        <w:bCs/>
        <w:i/>
        <w:iCs/>
        <w:sz w:val="18"/>
        <w:szCs w:val="18"/>
      </w:rPr>
    </w:pPr>
    <w:r>
      <w:rPr>
        <w:rFonts w:ascii="AVENIR LIGHT OBLIQUE" w:hAnsi="AVENIR LIGHT OBLIQUE"/>
        <w:b/>
        <w:bCs/>
        <w:i/>
        <w:iCs/>
        <w:sz w:val="18"/>
        <w:szCs w:val="18"/>
      </w:rPr>
      <w:tab/>
    </w:r>
  </w:p>
  <w:p w14:paraId="13E0300B" w14:textId="77777777" w:rsidR="005F0987" w:rsidRDefault="005F0987" w:rsidP="00AB091C">
    <w:pPr>
      <w:pStyle w:val="Header"/>
      <w:snapToGrid w:val="0"/>
      <w:rPr>
        <w:rFonts w:ascii="AVENIR LIGHT OBLIQUE" w:hAnsi="AVENIR LIGHT OBLIQUE"/>
        <w:b/>
        <w:bCs/>
        <w:i/>
        <w:iCs/>
        <w:sz w:val="18"/>
        <w:szCs w:val="18"/>
      </w:rPr>
    </w:pPr>
  </w:p>
  <w:p w14:paraId="0710A47B" w14:textId="77777777" w:rsidR="005F0987" w:rsidRDefault="005F0987" w:rsidP="00AB091C">
    <w:pPr>
      <w:pStyle w:val="Header"/>
      <w:snapToGrid w:val="0"/>
      <w:rPr>
        <w:rFonts w:ascii="AVENIR LIGHT OBLIQUE" w:hAnsi="AVENIR LIGHT OBLIQUE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035C"/>
    <w:multiLevelType w:val="hybridMultilevel"/>
    <w:tmpl w:val="D90EA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04EF"/>
    <w:multiLevelType w:val="hybridMultilevel"/>
    <w:tmpl w:val="8354AAF6"/>
    <w:lvl w:ilvl="0" w:tplc="2DC07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4B18"/>
    <w:multiLevelType w:val="hybridMultilevel"/>
    <w:tmpl w:val="5726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A24EB"/>
    <w:multiLevelType w:val="hybridMultilevel"/>
    <w:tmpl w:val="73C6F556"/>
    <w:lvl w:ilvl="0" w:tplc="A1DE32A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835E51"/>
    <w:multiLevelType w:val="hybridMultilevel"/>
    <w:tmpl w:val="46440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029C2"/>
    <w:multiLevelType w:val="hybridMultilevel"/>
    <w:tmpl w:val="4F3C3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42484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03E99"/>
    <w:multiLevelType w:val="hybridMultilevel"/>
    <w:tmpl w:val="45EC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14EF1"/>
    <w:multiLevelType w:val="hybridMultilevel"/>
    <w:tmpl w:val="51405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32F9E"/>
    <w:multiLevelType w:val="hybridMultilevel"/>
    <w:tmpl w:val="6B889D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706F9"/>
    <w:multiLevelType w:val="hybridMultilevel"/>
    <w:tmpl w:val="6164B280"/>
    <w:lvl w:ilvl="0" w:tplc="5CEA1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71125"/>
    <w:multiLevelType w:val="hybridMultilevel"/>
    <w:tmpl w:val="F08A7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E0EFC"/>
    <w:multiLevelType w:val="hybridMultilevel"/>
    <w:tmpl w:val="124A1A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53CD0"/>
    <w:multiLevelType w:val="hybridMultilevel"/>
    <w:tmpl w:val="58E25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97604"/>
    <w:multiLevelType w:val="hybridMultilevel"/>
    <w:tmpl w:val="7E9A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F0176"/>
    <w:multiLevelType w:val="hybridMultilevel"/>
    <w:tmpl w:val="39BA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91824"/>
    <w:multiLevelType w:val="hybridMultilevel"/>
    <w:tmpl w:val="A888D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21E85"/>
    <w:multiLevelType w:val="hybridMultilevel"/>
    <w:tmpl w:val="90E06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A1F70"/>
    <w:multiLevelType w:val="hybridMultilevel"/>
    <w:tmpl w:val="9EE2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B7167"/>
    <w:multiLevelType w:val="hybridMultilevel"/>
    <w:tmpl w:val="980A33A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9" w15:restartNumberingAfterBreak="0">
    <w:nsid w:val="4CDA103F"/>
    <w:multiLevelType w:val="hybridMultilevel"/>
    <w:tmpl w:val="014E6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1221E"/>
    <w:multiLevelType w:val="multilevel"/>
    <w:tmpl w:val="432E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3C639E"/>
    <w:multiLevelType w:val="hybridMultilevel"/>
    <w:tmpl w:val="2268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A76B5"/>
    <w:multiLevelType w:val="hybridMultilevel"/>
    <w:tmpl w:val="460A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45ED6"/>
    <w:multiLevelType w:val="hybridMultilevel"/>
    <w:tmpl w:val="F720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772AD"/>
    <w:multiLevelType w:val="hybridMultilevel"/>
    <w:tmpl w:val="54CE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410D5"/>
    <w:multiLevelType w:val="multilevel"/>
    <w:tmpl w:val="432E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3D6195"/>
    <w:multiLevelType w:val="hybridMultilevel"/>
    <w:tmpl w:val="6C209A8E"/>
    <w:lvl w:ilvl="0" w:tplc="D49CE2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D5351"/>
    <w:multiLevelType w:val="multilevel"/>
    <w:tmpl w:val="432E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6716099">
    <w:abstractNumId w:val="15"/>
  </w:num>
  <w:num w:numId="2" w16cid:durableId="2105418835">
    <w:abstractNumId w:val="9"/>
  </w:num>
  <w:num w:numId="3" w16cid:durableId="425615414">
    <w:abstractNumId w:val="22"/>
  </w:num>
  <w:num w:numId="4" w16cid:durableId="2137945713">
    <w:abstractNumId w:val="23"/>
  </w:num>
  <w:num w:numId="5" w16cid:durableId="65614678">
    <w:abstractNumId w:val="6"/>
  </w:num>
  <w:num w:numId="6" w16cid:durableId="1658652563">
    <w:abstractNumId w:val="1"/>
  </w:num>
  <w:num w:numId="7" w16cid:durableId="1565139753">
    <w:abstractNumId w:val="13"/>
  </w:num>
  <w:num w:numId="8" w16cid:durableId="525218607">
    <w:abstractNumId w:val="24"/>
  </w:num>
  <w:num w:numId="9" w16cid:durableId="1148522027">
    <w:abstractNumId w:val="14"/>
  </w:num>
  <w:num w:numId="10" w16cid:durableId="1210729139">
    <w:abstractNumId w:val="4"/>
  </w:num>
  <w:num w:numId="11" w16cid:durableId="109319303">
    <w:abstractNumId w:val="26"/>
  </w:num>
  <w:num w:numId="12" w16cid:durableId="810949048">
    <w:abstractNumId w:val="0"/>
  </w:num>
  <w:num w:numId="13" w16cid:durableId="1956643205">
    <w:abstractNumId w:val="12"/>
  </w:num>
  <w:num w:numId="14" w16cid:durableId="905266796">
    <w:abstractNumId w:val="5"/>
  </w:num>
  <w:num w:numId="15" w16cid:durableId="1059939120">
    <w:abstractNumId w:val="3"/>
  </w:num>
  <w:num w:numId="16" w16cid:durableId="1044938698">
    <w:abstractNumId w:val="17"/>
  </w:num>
  <w:num w:numId="17" w16cid:durableId="541334314">
    <w:abstractNumId w:val="11"/>
  </w:num>
  <w:num w:numId="18" w16cid:durableId="188375425">
    <w:abstractNumId w:val="8"/>
  </w:num>
  <w:num w:numId="19" w16cid:durableId="1435401377">
    <w:abstractNumId w:val="19"/>
  </w:num>
  <w:num w:numId="20" w16cid:durableId="759255878">
    <w:abstractNumId w:val="16"/>
  </w:num>
  <w:num w:numId="21" w16cid:durableId="177431366">
    <w:abstractNumId w:val="18"/>
  </w:num>
  <w:num w:numId="22" w16cid:durableId="188177634">
    <w:abstractNumId w:val="7"/>
  </w:num>
  <w:num w:numId="23" w16cid:durableId="264847935">
    <w:abstractNumId w:val="10"/>
  </w:num>
  <w:num w:numId="24" w16cid:durableId="1495486365">
    <w:abstractNumId w:val="2"/>
  </w:num>
  <w:num w:numId="25" w16cid:durableId="2019194245">
    <w:abstractNumId w:val="27"/>
  </w:num>
  <w:num w:numId="26" w16cid:durableId="1449472853">
    <w:abstractNumId w:val="25"/>
  </w:num>
  <w:num w:numId="27" w16cid:durableId="812211815">
    <w:abstractNumId w:val="20"/>
  </w:num>
  <w:num w:numId="28" w16cid:durableId="470706725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96"/>
    <w:rsid w:val="0000513B"/>
    <w:rsid w:val="0001047D"/>
    <w:rsid w:val="00015FEC"/>
    <w:rsid w:val="00024A87"/>
    <w:rsid w:val="00032BAE"/>
    <w:rsid w:val="00033A3D"/>
    <w:rsid w:val="0003514A"/>
    <w:rsid w:val="000440C9"/>
    <w:rsid w:val="00047101"/>
    <w:rsid w:val="00047FD7"/>
    <w:rsid w:val="000521E8"/>
    <w:rsid w:val="0005505D"/>
    <w:rsid w:val="00056918"/>
    <w:rsid w:val="00063648"/>
    <w:rsid w:val="00064E38"/>
    <w:rsid w:val="00073B51"/>
    <w:rsid w:val="0009225E"/>
    <w:rsid w:val="00094538"/>
    <w:rsid w:val="000A4230"/>
    <w:rsid w:val="000A5C29"/>
    <w:rsid w:val="000A61E5"/>
    <w:rsid w:val="000B2141"/>
    <w:rsid w:val="000B4005"/>
    <w:rsid w:val="000C0E0F"/>
    <w:rsid w:val="000D0C69"/>
    <w:rsid w:val="000D3ED9"/>
    <w:rsid w:val="000E1D8C"/>
    <w:rsid w:val="000F1CEE"/>
    <w:rsid w:val="000F5E4D"/>
    <w:rsid w:val="00102BFD"/>
    <w:rsid w:val="00102E8D"/>
    <w:rsid w:val="0010341D"/>
    <w:rsid w:val="00110ED2"/>
    <w:rsid w:val="00116F82"/>
    <w:rsid w:val="00117695"/>
    <w:rsid w:val="001229EE"/>
    <w:rsid w:val="0012466F"/>
    <w:rsid w:val="00124EFF"/>
    <w:rsid w:val="00127EC4"/>
    <w:rsid w:val="001340A8"/>
    <w:rsid w:val="00136CA2"/>
    <w:rsid w:val="00141196"/>
    <w:rsid w:val="00142702"/>
    <w:rsid w:val="0015368E"/>
    <w:rsid w:val="00156AEA"/>
    <w:rsid w:val="001628B9"/>
    <w:rsid w:val="00162936"/>
    <w:rsid w:val="0017074F"/>
    <w:rsid w:val="00172CCB"/>
    <w:rsid w:val="00175CAD"/>
    <w:rsid w:val="00176218"/>
    <w:rsid w:val="00176810"/>
    <w:rsid w:val="00177797"/>
    <w:rsid w:val="00180C6C"/>
    <w:rsid w:val="00182867"/>
    <w:rsid w:val="001842CD"/>
    <w:rsid w:val="0019040A"/>
    <w:rsid w:val="00196B66"/>
    <w:rsid w:val="001A2399"/>
    <w:rsid w:val="001A3A05"/>
    <w:rsid w:val="001A7234"/>
    <w:rsid w:val="001B5F88"/>
    <w:rsid w:val="001B6223"/>
    <w:rsid w:val="001C2D0A"/>
    <w:rsid w:val="001C5E07"/>
    <w:rsid w:val="001D10B1"/>
    <w:rsid w:val="001D4057"/>
    <w:rsid w:val="001D4928"/>
    <w:rsid w:val="001D5170"/>
    <w:rsid w:val="001D7D7E"/>
    <w:rsid w:val="001E4155"/>
    <w:rsid w:val="001E6A19"/>
    <w:rsid w:val="001F11E9"/>
    <w:rsid w:val="001F3CBD"/>
    <w:rsid w:val="00215064"/>
    <w:rsid w:val="00235865"/>
    <w:rsid w:val="00237835"/>
    <w:rsid w:val="00242BA6"/>
    <w:rsid w:val="002454A7"/>
    <w:rsid w:val="00251D6D"/>
    <w:rsid w:val="0026072B"/>
    <w:rsid w:val="00270361"/>
    <w:rsid w:val="002731DF"/>
    <w:rsid w:val="0027764A"/>
    <w:rsid w:val="00283AE0"/>
    <w:rsid w:val="00290BD9"/>
    <w:rsid w:val="0029771D"/>
    <w:rsid w:val="002A352C"/>
    <w:rsid w:val="002A5A76"/>
    <w:rsid w:val="002B0DF1"/>
    <w:rsid w:val="002B0F05"/>
    <w:rsid w:val="002B1786"/>
    <w:rsid w:val="002B4D90"/>
    <w:rsid w:val="002C176A"/>
    <w:rsid w:val="002C4C9A"/>
    <w:rsid w:val="002C5745"/>
    <w:rsid w:val="002C6C17"/>
    <w:rsid w:val="002C7204"/>
    <w:rsid w:val="002D21B5"/>
    <w:rsid w:val="002F2917"/>
    <w:rsid w:val="002F4347"/>
    <w:rsid w:val="0030389D"/>
    <w:rsid w:val="003056E3"/>
    <w:rsid w:val="0030765A"/>
    <w:rsid w:val="00312D2B"/>
    <w:rsid w:val="0031663C"/>
    <w:rsid w:val="003232CB"/>
    <w:rsid w:val="003305CE"/>
    <w:rsid w:val="00330D8A"/>
    <w:rsid w:val="0033116E"/>
    <w:rsid w:val="00331769"/>
    <w:rsid w:val="00342B63"/>
    <w:rsid w:val="003471D2"/>
    <w:rsid w:val="00350408"/>
    <w:rsid w:val="00351620"/>
    <w:rsid w:val="00353C02"/>
    <w:rsid w:val="00353D51"/>
    <w:rsid w:val="003558C0"/>
    <w:rsid w:val="003655BF"/>
    <w:rsid w:val="00365615"/>
    <w:rsid w:val="00367486"/>
    <w:rsid w:val="00367A8A"/>
    <w:rsid w:val="00376DDE"/>
    <w:rsid w:val="00380A7B"/>
    <w:rsid w:val="00386B76"/>
    <w:rsid w:val="00396B52"/>
    <w:rsid w:val="00396EAF"/>
    <w:rsid w:val="003A0227"/>
    <w:rsid w:val="003A1A8B"/>
    <w:rsid w:val="003B3747"/>
    <w:rsid w:val="003B754B"/>
    <w:rsid w:val="003B7812"/>
    <w:rsid w:val="003C42A3"/>
    <w:rsid w:val="003C4DEE"/>
    <w:rsid w:val="003D4E19"/>
    <w:rsid w:val="003D5D2D"/>
    <w:rsid w:val="003E4A4B"/>
    <w:rsid w:val="003F50FC"/>
    <w:rsid w:val="0040168C"/>
    <w:rsid w:val="004035F6"/>
    <w:rsid w:val="00405158"/>
    <w:rsid w:val="00413612"/>
    <w:rsid w:val="0041589A"/>
    <w:rsid w:val="00417B78"/>
    <w:rsid w:val="004369F2"/>
    <w:rsid w:val="00437926"/>
    <w:rsid w:val="00437F84"/>
    <w:rsid w:val="00440C20"/>
    <w:rsid w:val="00455CA3"/>
    <w:rsid w:val="0045637F"/>
    <w:rsid w:val="00460687"/>
    <w:rsid w:val="004710E1"/>
    <w:rsid w:val="00473A55"/>
    <w:rsid w:val="00474BF1"/>
    <w:rsid w:val="004813E8"/>
    <w:rsid w:val="0049163F"/>
    <w:rsid w:val="0049340C"/>
    <w:rsid w:val="004941D0"/>
    <w:rsid w:val="004A0112"/>
    <w:rsid w:val="004A325C"/>
    <w:rsid w:val="004A5DD7"/>
    <w:rsid w:val="004B25F4"/>
    <w:rsid w:val="004C3E8D"/>
    <w:rsid w:val="004D60AB"/>
    <w:rsid w:val="004D610F"/>
    <w:rsid w:val="004E3BB0"/>
    <w:rsid w:val="004E66A6"/>
    <w:rsid w:val="004F4B00"/>
    <w:rsid w:val="00504028"/>
    <w:rsid w:val="005055CF"/>
    <w:rsid w:val="00506AA9"/>
    <w:rsid w:val="00514A5A"/>
    <w:rsid w:val="00516336"/>
    <w:rsid w:val="00523644"/>
    <w:rsid w:val="00532D9B"/>
    <w:rsid w:val="00533627"/>
    <w:rsid w:val="00544A7A"/>
    <w:rsid w:val="005466BF"/>
    <w:rsid w:val="00547FEC"/>
    <w:rsid w:val="0055011A"/>
    <w:rsid w:val="005549CF"/>
    <w:rsid w:val="00560C9F"/>
    <w:rsid w:val="00562F9A"/>
    <w:rsid w:val="005635C0"/>
    <w:rsid w:val="005642C3"/>
    <w:rsid w:val="005644BE"/>
    <w:rsid w:val="00573318"/>
    <w:rsid w:val="0058022C"/>
    <w:rsid w:val="00582299"/>
    <w:rsid w:val="00583908"/>
    <w:rsid w:val="00586ADC"/>
    <w:rsid w:val="00587286"/>
    <w:rsid w:val="00595480"/>
    <w:rsid w:val="00595E69"/>
    <w:rsid w:val="00597752"/>
    <w:rsid w:val="005A1951"/>
    <w:rsid w:val="005A45CC"/>
    <w:rsid w:val="005A6CD3"/>
    <w:rsid w:val="005B0126"/>
    <w:rsid w:val="005B0161"/>
    <w:rsid w:val="005B377E"/>
    <w:rsid w:val="005B6566"/>
    <w:rsid w:val="005B7B9A"/>
    <w:rsid w:val="005C140D"/>
    <w:rsid w:val="005C14D3"/>
    <w:rsid w:val="005C174A"/>
    <w:rsid w:val="005C4B15"/>
    <w:rsid w:val="005C5403"/>
    <w:rsid w:val="005D127F"/>
    <w:rsid w:val="005D42A9"/>
    <w:rsid w:val="005E00ED"/>
    <w:rsid w:val="005E38C2"/>
    <w:rsid w:val="005E7F40"/>
    <w:rsid w:val="005F0987"/>
    <w:rsid w:val="005F23E3"/>
    <w:rsid w:val="0060073F"/>
    <w:rsid w:val="00601EBD"/>
    <w:rsid w:val="0060391E"/>
    <w:rsid w:val="0061007F"/>
    <w:rsid w:val="006143FF"/>
    <w:rsid w:val="00617ADB"/>
    <w:rsid w:val="0063009F"/>
    <w:rsid w:val="006319E4"/>
    <w:rsid w:val="0063284C"/>
    <w:rsid w:val="00641407"/>
    <w:rsid w:val="00641B98"/>
    <w:rsid w:val="00650B2E"/>
    <w:rsid w:val="006512EB"/>
    <w:rsid w:val="006547D7"/>
    <w:rsid w:val="00657B4F"/>
    <w:rsid w:val="00662F08"/>
    <w:rsid w:val="0066676F"/>
    <w:rsid w:val="006670B3"/>
    <w:rsid w:val="006719DD"/>
    <w:rsid w:val="00682797"/>
    <w:rsid w:val="00685963"/>
    <w:rsid w:val="006865D9"/>
    <w:rsid w:val="00687C46"/>
    <w:rsid w:val="006927AA"/>
    <w:rsid w:val="006940AE"/>
    <w:rsid w:val="006A2137"/>
    <w:rsid w:val="006B0958"/>
    <w:rsid w:val="006B29D9"/>
    <w:rsid w:val="006B4A7E"/>
    <w:rsid w:val="006B67DB"/>
    <w:rsid w:val="006C2657"/>
    <w:rsid w:val="006C277B"/>
    <w:rsid w:val="006C3D4A"/>
    <w:rsid w:val="006D0BBA"/>
    <w:rsid w:val="006D2C67"/>
    <w:rsid w:val="006F314A"/>
    <w:rsid w:val="006F49BB"/>
    <w:rsid w:val="006F5163"/>
    <w:rsid w:val="006F7CD5"/>
    <w:rsid w:val="00702D5D"/>
    <w:rsid w:val="00705968"/>
    <w:rsid w:val="00710DD3"/>
    <w:rsid w:val="00711419"/>
    <w:rsid w:val="00715909"/>
    <w:rsid w:val="00723FFB"/>
    <w:rsid w:val="0075770E"/>
    <w:rsid w:val="007601E2"/>
    <w:rsid w:val="00767643"/>
    <w:rsid w:val="00780BB4"/>
    <w:rsid w:val="007822AD"/>
    <w:rsid w:val="00782E62"/>
    <w:rsid w:val="00791F16"/>
    <w:rsid w:val="0079746E"/>
    <w:rsid w:val="007A62FB"/>
    <w:rsid w:val="007A6930"/>
    <w:rsid w:val="007B32BD"/>
    <w:rsid w:val="007B480B"/>
    <w:rsid w:val="007C4801"/>
    <w:rsid w:val="007C6D9E"/>
    <w:rsid w:val="007C6ED7"/>
    <w:rsid w:val="007D0199"/>
    <w:rsid w:val="007D0AFE"/>
    <w:rsid w:val="007D0CBE"/>
    <w:rsid w:val="007F0888"/>
    <w:rsid w:val="007F595F"/>
    <w:rsid w:val="008011A7"/>
    <w:rsid w:val="008068F5"/>
    <w:rsid w:val="008102A8"/>
    <w:rsid w:val="00810E67"/>
    <w:rsid w:val="00813E26"/>
    <w:rsid w:val="00816D44"/>
    <w:rsid w:val="0082133F"/>
    <w:rsid w:val="0082234B"/>
    <w:rsid w:val="00823B34"/>
    <w:rsid w:val="00831923"/>
    <w:rsid w:val="00833CFD"/>
    <w:rsid w:val="008364ED"/>
    <w:rsid w:val="00837C9C"/>
    <w:rsid w:val="00842399"/>
    <w:rsid w:val="008447F8"/>
    <w:rsid w:val="0084580D"/>
    <w:rsid w:val="008516AA"/>
    <w:rsid w:val="00853DE2"/>
    <w:rsid w:val="0086435E"/>
    <w:rsid w:val="008656B0"/>
    <w:rsid w:val="00874412"/>
    <w:rsid w:val="00877F95"/>
    <w:rsid w:val="00885B21"/>
    <w:rsid w:val="008920EF"/>
    <w:rsid w:val="008A514E"/>
    <w:rsid w:val="008A580F"/>
    <w:rsid w:val="008A5CBB"/>
    <w:rsid w:val="008B1C8B"/>
    <w:rsid w:val="008B2762"/>
    <w:rsid w:val="008B64B7"/>
    <w:rsid w:val="008C556F"/>
    <w:rsid w:val="008C79EB"/>
    <w:rsid w:val="008D033B"/>
    <w:rsid w:val="008D23BC"/>
    <w:rsid w:val="008D6C42"/>
    <w:rsid w:val="008E1DCD"/>
    <w:rsid w:val="008E4890"/>
    <w:rsid w:val="008F3E5E"/>
    <w:rsid w:val="008F5ADC"/>
    <w:rsid w:val="008F6A03"/>
    <w:rsid w:val="009032F5"/>
    <w:rsid w:val="00903FDF"/>
    <w:rsid w:val="00910E27"/>
    <w:rsid w:val="00911CD4"/>
    <w:rsid w:val="00911FA9"/>
    <w:rsid w:val="0092103D"/>
    <w:rsid w:val="00921137"/>
    <w:rsid w:val="009223B4"/>
    <w:rsid w:val="00925C54"/>
    <w:rsid w:val="00926733"/>
    <w:rsid w:val="00926B79"/>
    <w:rsid w:val="0092771D"/>
    <w:rsid w:val="00927C2F"/>
    <w:rsid w:val="00933AF7"/>
    <w:rsid w:val="00937157"/>
    <w:rsid w:val="00937AD0"/>
    <w:rsid w:val="00940385"/>
    <w:rsid w:val="00940477"/>
    <w:rsid w:val="0094339C"/>
    <w:rsid w:val="009576C6"/>
    <w:rsid w:val="009702C1"/>
    <w:rsid w:val="00970BC8"/>
    <w:rsid w:val="00975600"/>
    <w:rsid w:val="00981BF0"/>
    <w:rsid w:val="00984A5F"/>
    <w:rsid w:val="0098615F"/>
    <w:rsid w:val="0098687C"/>
    <w:rsid w:val="0099043A"/>
    <w:rsid w:val="00994E1C"/>
    <w:rsid w:val="009A19DB"/>
    <w:rsid w:val="009A45FF"/>
    <w:rsid w:val="009A4FAF"/>
    <w:rsid w:val="009B2F29"/>
    <w:rsid w:val="009B52FF"/>
    <w:rsid w:val="009D01CC"/>
    <w:rsid w:val="009D1979"/>
    <w:rsid w:val="009D2250"/>
    <w:rsid w:val="009D384F"/>
    <w:rsid w:val="009D3C20"/>
    <w:rsid w:val="009D7AFC"/>
    <w:rsid w:val="009E5F14"/>
    <w:rsid w:val="009F0C0B"/>
    <w:rsid w:val="00A00F29"/>
    <w:rsid w:val="00A02FF3"/>
    <w:rsid w:val="00A06E37"/>
    <w:rsid w:val="00A112DC"/>
    <w:rsid w:val="00A23817"/>
    <w:rsid w:val="00A26EE8"/>
    <w:rsid w:val="00A27C84"/>
    <w:rsid w:val="00A31162"/>
    <w:rsid w:val="00A316B5"/>
    <w:rsid w:val="00A37C08"/>
    <w:rsid w:val="00A4131E"/>
    <w:rsid w:val="00A414F9"/>
    <w:rsid w:val="00A441F9"/>
    <w:rsid w:val="00A51F11"/>
    <w:rsid w:val="00A5211E"/>
    <w:rsid w:val="00A53816"/>
    <w:rsid w:val="00A57E63"/>
    <w:rsid w:val="00A603D9"/>
    <w:rsid w:val="00A63389"/>
    <w:rsid w:val="00A71F4E"/>
    <w:rsid w:val="00A85184"/>
    <w:rsid w:val="00AA68A9"/>
    <w:rsid w:val="00AA72B9"/>
    <w:rsid w:val="00AB091C"/>
    <w:rsid w:val="00AB4282"/>
    <w:rsid w:val="00AB5596"/>
    <w:rsid w:val="00AC5179"/>
    <w:rsid w:val="00AC545D"/>
    <w:rsid w:val="00AC765D"/>
    <w:rsid w:val="00AD42B2"/>
    <w:rsid w:val="00AD4D97"/>
    <w:rsid w:val="00AD5835"/>
    <w:rsid w:val="00AE0F7D"/>
    <w:rsid w:val="00AE146D"/>
    <w:rsid w:val="00AE28B7"/>
    <w:rsid w:val="00AE2FB1"/>
    <w:rsid w:val="00AE30BA"/>
    <w:rsid w:val="00AE430C"/>
    <w:rsid w:val="00AF0A41"/>
    <w:rsid w:val="00AF0FEB"/>
    <w:rsid w:val="00AF3751"/>
    <w:rsid w:val="00AF512E"/>
    <w:rsid w:val="00AF7966"/>
    <w:rsid w:val="00B005AC"/>
    <w:rsid w:val="00B026FC"/>
    <w:rsid w:val="00B2399A"/>
    <w:rsid w:val="00B2619E"/>
    <w:rsid w:val="00B27214"/>
    <w:rsid w:val="00B33187"/>
    <w:rsid w:val="00B413B5"/>
    <w:rsid w:val="00B45DB7"/>
    <w:rsid w:val="00B5235E"/>
    <w:rsid w:val="00B60B0A"/>
    <w:rsid w:val="00B6306B"/>
    <w:rsid w:val="00B64310"/>
    <w:rsid w:val="00B64FE3"/>
    <w:rsid w:val="00B74E1B"/>
    <w:rsid w:val="00B75F96"/>
    <w:rsid w:val="00B80A0D"/>
    <w:rsid w:val="00B81BE6"/>
    <w:rsid w:val="00B92CC0"/>
    <w:rsid w:val="00B96860"/>
    <w:rsid w:val="00BA24C7"/>
    <w:rsid w:val="00BB681A"/>
    <w:rsid w:val="00BD10BC"/>
    <w:rsid w:val="00BD3CB8"/>
    <w:rsid w:val="00BD7F29"/>
    <w:rsid w:val="00BE3527"/>
    <w:rsid w:val="00BE6B2D"/>
    <w:rsid w:val="00BF6F0B"/>
    <w:rsid w:val="00C0111C"/>
    <w:rsid w:val="00C01AC7"/>
    <w:rsid w:val="00C043DA"/>
    <w:rsid w:val="00C100D5"/>
    <w:rsid w:val="00C1062E"/>
    <w:rsid w:val="00C1114F"/>
    <w:rsid w:val="00C1304E"/>
    <w:rsid w:val="00C138DE"/>
    <w:rsid w:val="00C212A0"/>
    <w:rsid w:val="00C24EFD"/>
    <w:rsid w:val="00C26BFA"/>
    <w:rsid w:val="00C347D1"/>
    <w:rsid w:val="00C3523C"/>
    <w:rsid w:val="00C37730"/>
    <w:rsid w:val="00C43F91"/>
    <w:rsid w:val="00C57224"/>
    <w:rsid w:val="00C6213D"/>
    <w:rsid w:val="00C623E3"/>
    <w:rsid w:val="00C65818"/>
    <w:rsid w:val="00C668C1"/>
    <w:rsid w:val="00C705B4"/>
    <w:rsid w:val="00C7798F"/>
    <w:rsid w:val="00C95928"/>
    <w:rsid w:val="00CB05FE"/>
    <w:rsid w:val="00CB52A1"/>
    <w:rsid w:val="00CD1FCF"/>
    <w:rsid w:val="00CD3DCA"/>
    <w:rsid w:val="00CD71E3"/>
    <w:rsid w:val="00CE196F"/>
    <w:rsid w:val="00CF2183"/>
    <w:rsid w:val="00CF2451"/>
    <w:rsid w:val="00D04179"/>
    <w:rsid w:val="00D04654"/>
    <w:rsid w:val="00D06764"/>
    <w:rsid w:val="00D13EE8"/>
    <w:rsid w:val="00D25B04"/>
    <w:rsid w:val="00D2732E"/>
    <w:rsid w:val="00D31FF6"/>
    <w:rsid w:val="00D365E4"/>
    <w:rsid w:val="00D408B3"/>
    <w:rsid w:val="00D431EE"/>
    <w:rsid w:val="00D52741"/>
    <w:rsid w:val="00D559C9"/>
    <w:rsid w:val="00D64865"/>
    <w:rsid w:val="00D64A51"/>
    <w:rsid w:val="00D6582E"/>
    <w:rsid w:val="00D66F55"/>
    <w:rsid w:val="00D71A3C"/>
    <w:rsid w:val="00D759FA"/>
    <w:rsid w:val="00D77F0A"/>
    <w:rsid w:val="00D87F57"/>
    <w:rsid w:val="00D90BF7"/>
    <w:rsid w:val="00D915E4"/>
    <w:rsid w:val="00DA1DBD"/>
    <w:rsid w:val="00DA533E"/>
    <w:rsid w:val="00DB6B2B"/>
    <w:rsid w:val="00DC236B"/>
    <w:rsid w:val="00DC278D"/>
    <w:rsid w:val="00DC2FC8"/>
    <w:rsid w:val="00DC3213"/>
    <w:rsid w:val="00DC41EF"/>
    <w:rsid w:val="00DD4329"/>
    <w:rsid w:val="00DD6145"/>
    <w:rsid w:val="00DE0BA3"/>
    <w:rsid w:val="00DE5885"/>
    <w:rsid w:val="00DF155C"/>
    <w:rsid w:val="00DF1C73"/>
    <w:rsid w:val="00E00794"/>
    <w:rsid w:val="00E03191"/>
    <w:rsid w:val="00E071D6"/>
    <w:rsid w:val="00E12359"/>
    <w:rsid w:val="00E13A4E"/>
    <w:rsid w:val="00E13EA8"/>
    <w:rsid w:val="00E1463C"/>
    <w:rsid w:val="00E17F8A"/>
    <w:rsid w:val="00E2445E"/>
    <w:rsid w:val="00E24501"/>
    <w:rsid w:val="00E26958"/>
    <w:rsid w:val="00E30F30"/>
    <w:rsid w:val="00E3254F"/>
    <w:rsid w:val="00E328C6"/>
    <w:rsid w:val="00E343D4"/>
    <w:rsid w:val="00E371D7"/>
    <w:rsid w:val="00E379C9"/>
    <w:rsid w:val="00E404D5"/>
    <w:rsid w:val="00E4390A"/>
    <w:rsid w:val="00E443E1"/>
    <w:rsid w:val="00E447A0"/>
    <w:rsid w:val="00E46216"/>
    <w:rsid w:val="00E550E6"/>
    <w:rsid w:val="00E641E7"/>
    <w:rsid w:val="00E651BC"/>
    <w:rsid w:val="00E669C1"/>
    <w:rsid w:val="00E80239"/>
    <w:rsid w:val="00E82CEB"/>
    <w:rsid w:val="00E90981"/>
    <w:rsid w:val="00E92609"/>
    <w:rsid w:val="00E92891"/>
    <w:rsid w:val="00E92FEB"/>
    <w:rsid w:val="00E952F6"/>
    <w:rsid w:val="00E96B1E"/>
    <w:rsid w:val="00EA451C"/>
    <w:rsid w:val="00EB2C35"/>
    <w:rsid w:val="00EB31C5"/>
    <w:rsid w:val="00EB4B0F"/>
    <w:rsid w:val="00EB66B0"/>
    <w:rsid w:val="00EC0B74"/>
    <w:rsid w:val="00EC607E"/>
    <w:rsid w:val="00ED1A87"/>
    <w:rsid w:val="00ED3E4B"/>
    <w:rsid w:val="00ED6666"/>
    <w:rsid w:val="00EE0D76"/>
    <w:rsid w:val="00EE0F4E"/>
    <w:rsid w:val="00EE69C0"/>
    <w:rsid w:val="00EF0B9B"/>
    <w:rsid w:val="00EF37F3"/>
    <w:rsid w:val="00EF47A9"/>
    <w:rsid w:val="00F05683"/>
    <w:rsid w:val="00F069A8"/>
    <w:rsid w:val="00F1000A"/>
    <w:rsid w:val="00F12C7B"/>
    <w:rsid w:val="00F201B0"/>
    <w:rsid w:val="00F201EB"/>
    <w:rsid w:val="00F21F65"/>
    <w:rsid w:val="00F2377C"/>
    <w:rsid w:val="00F254C7"/>
    <w:rsid w:val="00F3441D"/>
    <w:rsid w:val="00F54407"/>
    <w:rsid w:val="00F549EA"/>
    <w:rsid w:val="00F56B4E"/>
    <w:rsid w:val="00F57A82"/>
    <w:rsid w:val="00F57F3A"/>
    <w:rsid w:val="00F65507"/>
    <w:rsid w:val="00F655E2"/>
    <w:rsid w:val="00F70A27"/>
    <w:rsid w:val="00F739C8"/>
    <w:rsid w:val="00F74950"/>
    <w:rsid w:val="00F77F4D"/>
    <w:rsid w:val="00F82995"/>
    <w:rsid w:val="00F8308C"/>
    <w:rsid w:val="00F836CA"/>
    <w:rsid w:val="00F9335A"/>
    <w:rsid w:val="00F93929"/>
    <w:rsid w:val="00F94958"/>
    <w:rsid w:val="00F94D13"/>
    <w:rsid w:val="00F97957"/>
    <w:rsid w:val="00FA42FC"/>
    <w:rsid w:val="00FA6155"/>
    <w:rsid w:val="00FB587B"/>
    <w:rsid w:val="00FD0917"/>
    <w:rsid w:val="00FD14C5"/>
    <w:rsid w:val="00FD4C7D"/>
    <w:rsid w:val="00FE16D1"/>
    <w:rsid w:val="00FE28F5"/>
    <w:rsid w:val="00FE3FE8"/>
    <w:rsid w:val="00FF4FD7"/>
    <w:rsid w:val="00FF5895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19FD5"/>
  <w15:docId w15:val="{761DC215-AFDD-D64D-9247-51BEBD03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A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A5A"/>
    <w:pPr>
      <w:keepNext/>
      <w:keepLines/>
      <w:spacing w:before="120" w:after="120"/>
      <w:outlineLvl w:val="1"/>
    </w:pPr>
    <w:rPr>
      <w:rFonts w:asciiTheme="minorHAnsi" w:eastAsiaTheme="majorEastAsia" w:hAnsiTheme="min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A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B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B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B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B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53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14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D7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74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E1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E1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D0199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26EE8"/>
  </w:style>
  <w:style w:type="table" w:styleId="TableGrid">
    <w:name w:val="Table Grid"/>
    <w:basedOn w:val="TableNormal"/>
    <w:uiPriority w:val="59"/>
    <w:rsid w:val="00AB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417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A0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14A5A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4A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14A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14A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A5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14A5A"/>
    <w:rPr>
      <w:rFonts w:eastAsiaTheme="minorEastAsia"/>
      <w:color w:val="5A5A5A" w:themeColor="text1" w:themeTint="A5"/>
      <w:spacing w:val="15"/>
    </w:rPr>
  </w:style>
  <w:style w:type="character" w:customStyle="1" w:styleId="apple-converted-space">
    <w:name w:val="apple-converted-space"/>
    <w:basedOn w:val="DefaultParagraphFont"/>
    <w:rsid w:val="00710DD3"/>
  </w:style>
  <w:style w:type="character" w:styleId="Emphasis">
    <w:name w:val="Emphasis"/>
    <w:basedOn w:val="DefaultParagraphFont"/>
    <w:uiPriority w:val="20"/>
    <w:qFormat/>
    <w:rsid w:val="00710DD3"/>
    <w:rPr>
      <w:i/>
      <w:iCs/>
    </w:rPr>
  </w:style>
  <w:style w:type="character" w:customStyle="1" w:styleId="text">
    <w:name w:val="text"/>
    <w:basedOn w:val="DefaultParagraphFont"/>
    <w:rsid w:val="00710DD3"/>
  </w:style>
  <w:style w:type="paragraph" w:styleId="Revision">
    <w:name w:val="Revision"/>
    <w:hidden/>
    <w:uiPriority w:val="99"/>
    <w:semiHidden/>
    <w:rsid w:val="003B7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3545">
          <w:marLeft w:val="0"/>
          <w:marRight w:val="0"/>
          <w:marTop w:val="225"/>
          <w:marBottom w:val="0"/>
          <w:divBdr>
            <w:top w:val="single" w:sz="24" w:space="0" w:color="DDDDDD"/>
            <w:left w:val="single" w:sz="24" w:space="14" w:color="DDDDDD"/>
            <w:bottom w:val="single" w:sz="24" w:space="4" w:color="DDDDDD"/>
            <w:right w:val="single" w:sz="24" w:space="14" w:color="DDDDDD"/>
          </w:divBdr>
          <w:divsChild>
            <w:div w:id="79240249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468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773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9260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6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1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12167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28957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0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91309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4324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5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87281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7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5466">
          <w:marLeft w:val="0"/>
          <w:marRight w:val="0"/>
          <w:marTop w:val="225"/>
          <w:marBottom w:val="0"/>
          <w:divBdr>
            <w:top w:val="single" w:sz="24" w:space="0" w:color="DDDDDD"/>
            <w:left w:val="single" w:sz="24" w:space="14" w:color="DDDDDD"/>
            <w:bottom w:val="single" w:sz="24" w:space="4" w:color="DDDDDD"/>
            <w:right w:val="single" w:sz="24" w:space="14" w:color="DDDDDD"/>
          </w:divBdr>
          <w:divsChild>
            <w:div w:id="98593684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7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093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6701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568759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2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5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36">
          <w:marLeft w:val="0"/>
          <w:marRight w:val="0"/>
          <w:marTop w:val="225"/>
          <w:marBottom w:val="0"/>
          <w:divBdr>
            <w:top w:val="single" w:sz="24" w:space="0" w:color="DDDDDD"/>
            <w:left w:val="single" w:sz="24" w:space="14" w:color="DDDDDD"/>
            <w:bottom w:val="single" w:sz="24" w:space="4" w:color="DDDDDD"/>
            <w:right w:val="single" w:sz="24" w:space="14" w:color="DDDDDD"/>
          </w:divBdr>
          <w:divsChild>
            <w:div w:id="122710611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03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033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4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58587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5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05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1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53264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3608">
          <w:marLeft w:val="0"/>
          <w:marRight w:val="0"/>
          <w:marTop w:val="225"/>
          <w:marBottom w:val="0"/>
          <w:divBdr>
            <w:top w:val="single" w:sz="24" w:space="0" w:color="DDDDDD"/>
            <w:left w:val="single" w:sz="24" w:space="14" w:color="DDDDDD"/>
            <w:bottom w:val="single" w:sz="24" w:space="4" w:color="DDDDDD"/>
            <w:right w:val="single" w:sz="24" w:space="14" w:color="DDDDDD"/>
          </w:divBdr>
          <w:divsChild>
            <w:div w:id="21937087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787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11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05701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7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172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40070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9748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8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eralregister.gov/documents/2022/03/30/2022-06546/improve-tracking-of-workplace-injuries-and-illnesses" TargetMode="External"/><Relationship Id="rId13" Type="http://schemas.openxmlformats.org/officeDocument/2006/relationships/hyperlink" Target="https://www.osha.gov/Establishment-Specific-Injury-and-Illness-Dat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2-05-25/pdf/2022-11213.pdf" TargetMode="External"/><Relationship Id="rId12" Type="http://schemas.openxmlformats.org/officeDocument/2006/relationships/hyperlink" Target="https://www.regulations.gov/document/OSHA-2021-0006-000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deralregister.gov/documents/2022/03/30/2022-06546/improve-tracking-of-workplace-injuries-and-illness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ederalregister.gov/documents/2022/03/30/2022-06546/improve-tracking-of-workplace-injuries-and-illnes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sha.gov/laws-regs/regulations/standardnumber/1904/1904.41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cleary@phylma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PRR</Company>
  <LinksUpToDate>false</LinksUpToDate>
  <CharactersWithSpaces>5773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Cleary</dc:creator>
  <cp:lastModifiedBy>Helen Cleary</cp:lastModifiedBy>
  <cp:revision>9</cp:revision>
  <cp:lastPrinted>2022-04-19T21:35:00Z</cp:lastPrinted>
  <dcterms:created xsi:type="dcterms:W3CDTF">2022-05-26T18:49:00Z</dcterms:created>
  <dcterms:modified xsi:type="dcterms:W3CDTF">2022-05-26T21:00:00Z</dcterms:modified>
</cp:coreProperties>
</file>